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841" w:rsidRPr="00C86720" w:rsidRDefault="0075372D" w:rsidP="002F5841">
      <w:pPr>
        <w:spacing w:line="20" w:lineRule="atLeast"/>
        <w:jc w:val="center"/>
        <w:rPr>
          <w:rFonts w:ascii="Book Antiqua" w:hAnsi="Book Antiqua"/>
          <w:b/>
        </w:rPr>
      </w:pPr>
      <w:r w:rsidRPr="00C86720">
        <w:rPr>
          <w:rFonts w:ascii="Book Antiqua" w:hAnsi="Book Antiqua"/>
          <w:noProof/>
          <w:lang w:val="en-US"/>
        </w:rPr>
        <w:drawing>
          <wp:inline distT="0" distB="0" distL="0" distR="0">
            <wp:extent cx="762000" cy="857250"/>
            <wp:effectExtent l="0" t="0" r="0" b="0"/>
            <wp:docPr id="1" name="Picture 1" descr="Description: 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_JPG"/>
                    <pic:cNvPicPr>
                      <a:picLocks noChangeAspect="1" noChangeArrowheads="1"/>
                    </pic:cNvPicPr>
                  </pic:nvPicPr>
                  <pic:blipFill>
                    <a:blip r:embed="rId8" cstate="print"/>
                    <a:srcRect/>
                    <a:stretch>
                      <a:fillRect/>
                    </a:stretch>
                  </pic:blipFill>
                  <pic:spPr bwMode="auto">
                    <a:xfrm>
                      <a:off x="0" y="0"/>
                      <a:ext cx="762000" cy="857250"/>
                    </a:xfrm>
                    <a:prstGeom prst="rect">
                      <a:avLst/>
                    </a:prstGeom>
                    <a:noFill/>
                    <a:ln w="9525">
                      <a:noFill/>
                      <a:miter lim="800000"/>
                      <a:headEnd/>
                      <a:tailEnd/>
                    </a:ln>
                  </pic:spPr>
                </pic:pic>
              </a:graphicData>
            </a:graphic>
          </wp:inline>
        </w:drawing>
      </w:r>
      <w:bookmarkStart w:id="0" w:name="OLE_LINK3"/>
    </w:p>
    <w:p w:rsidR="00741AEA" w:rsidRPr="00C86720" w:rsidRDefault="00741AEA" w:rsidP="002F5841">
      <w:pPr>
        <w:spacing w:line="20" w:lineRule="atLeast"/>
        <w:jc w:val="center"/>
        <w:rPr>
          <w:rFonts w:ascii="Book Antiqua" w:hAnsi="Book Antiqua" w:cs="Book Antiqua"/>
          <w:bCs/>
          <w:sz w:val="22"/>
          <w:szCs w:val="22"/>
        </w:rPr>
      </w:pPr>
    </w:p>
    <w:p w:rsidR="002F5841" w:rsidRPr="00C86720" w:rsidRDefault="002F5841" w:rsidP="002F5841">
      <w:pPr>
        <w:spacing w:line="20" w:lineRule="atLeast"/>
        <w:jc w:val="center"/>
        <w:rPr>
          <w:rFonts w:ascii="Book Antiqua" w:eastAsia="Batang" w:hAnsi="Book Antiqua"/>
          <w:b/>
          <w:bCs/>
          <w:sz w:val="32"/>
          <w:szCs w:val="32"/>
        </w:rPr>
      </w:pPr>
      <w:r w:rsidRPr="00C86720">
        <w:rPr>
          <w:rFonts w:ascii="Book Antiqua" w:hAnsi="Book Antiqua" w:cs="Book Antiqua"/>
          <w:b/>
          <w:bCs/>
          <w:sz w:val="32"/>
          <w:szCs w:val="32"/>
        </w:rPr>
        <w:t>Republika e Kosovës</w:t>
      </w:r>
    </w:p>
    <w:p w:rsidR="002F5841" w:rsidRPr="00C86720" w:rsidRDefault="002F5841" w:rsidP="002F5841">
      <w:pPr>
        <w:spacing w:line="20" w:lineRule="atLeast"/>
        <w:jc w:val="center"/>
        <w:rPr>
          <w:rFonts w:ascii="Book Antiqua" w:hAnsi="Book Antiqua" w:cs="Book Antiqua"/>
          <w:b/>
          <w:bCs/>
          <w:sz w:val="26"/>
          <w:szCs w:val="26"/>
        </w:rPr>
      </w:pPr>
      <w:r w:rsidRPr="00C86720">
        <w:rPr>
          <w:rFonts w:ascii="Book Antiqua" w:eastAsia="Batang" w:hAnsi="Book Antiqua" w:cs="Book Antiqua"/>
          <w:b/>
          <w:bCs/>
          <w:sz w:val="26"/>
          <w:szCs w:val="26"/>
        </w:rPr>
        <w:t>Republika Kosova-</w:t>
      </w:r>
      <w:r w:rsidRPr="00C86720">
        <w:rPr>
          <w:rFonts w:ascii="Book Antiqua" w:hAnsi="Book Antiqua" w:cs="Book Antiqua"/>
          <w:b/>
          <w:bCs/>
          <w:sz w:val="26"/>
          <w:szCs w:val="26"/>
        </w:rPr>
        <w:t>Republic of Kosovo</w:t>
      </w:r>
    </w:p>
    <w:bookmarkEnd w:id="0"/>
    <w:p w:rsidR="00615797" w:rsidRPr="00C86720" w:rsidRDefault="00615797" w:rsidP="00615797">
      <w:pPr>
        <w:pStyle w:val="Title"/>
        <w:pBdr>
          <w:bottom w:val="single" w:sz="12" w:space="1" w:color="auto"/>
        </w:pBdr>
        <w:spacing w:line="360" w:lineRule="auto"/>
        <w:rPr>
          <w:i/>
          <w:iCs/>
          <w:lang/>
        </w:rPr>
      </w:pPr>
      <w:r w:rsidRPr="00C86720">
        <w:rPr>
          <w:i/>
          <w:iCs/>
          <w:lang/>
        </w:rPr>
        <w:t>Kuvendi - Skupština – Assembly</w:t>
      </w:r>
    </w:p>
    <w:p w:rsidR="002F5841" w:rsidRPr="00C86720" w:rsidRDefault="002F5841" w:rsidP="00615797">
      <w:pPr>
        <w:spacing w:line="20" w:lineRule="atLeast"/>
        <w:jc w:val="center"/>
        <w:rPr>
          <w:rFonts w:ascii="Book Antiqua" w:hAnsi="Book Antiqua"/>
          <w:b/>
          <w:smallCaps/>
          <w:sz w:val="20"/>
          <w:szCs w:val="20"/>
        </w:rPr>
      </w:pPr>
    </w:p>
    <w:p w:rsidR="002F5841" w:rsidRPr="00C86720" w:rsidRDefault="002F5841" w:rsidP="002F5841">
      <w:pPr>
        <w:spacing w:line="20" w:lineRule="atLeast"/>
        <w:jc w:val="center"/>
        <w:rPr>
          <w:rFonts w:ascii="Book Antiqua" w:hAnsi="Book Antiqua"/>
          <w:b/>
        </w:rPr>
      </w:pPr>
    </w:p>
    <w:p w:rsidR="00572101" w:rsidRDefault="00572101">
      <w:pPr>
        <w:rPr>
          <w:rFonts w:ascii="Book Antiqua" w:hAnsi="Book Antiqua"/>
        </w:rPr>
      </w:pPr>
    </w:p>
    <w:p w:rsidR="00FC451A" w:rsidRDefault="00FC451A">
      <w:pPr>
        <w:rPr>
          <w:rFonts w:ascii="Book Antiqua" w:hAnsi="Book Antiqua"/>
        </w:rPr>
      </w:pPr>
    </w:p>
    <w:p w:rsidR="00FC451A" w:rsidRPr="00C86720" w:rsidRDefault="00FC451A">
      <w:pP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p w:rsidR="00AA0D7C" w:rsidRPr="00AA0D7C" w:rsidRDefault="002F5841" w:rsidP="00AA0D7C">
      <w:pPr>
        <w:spacing w:line="20" w:lineRule="atLeast"/>
        <w:jc w:val="center"/>
        <w:rPr>
          <w:rFonts w:ascii="Book Antiqua" w:hAnsi="Book Antiqua"/>
          <w:b/>
          <w:sz w:val="28"/>
          <w:szCs w:val="28"/>
        </w:rPr>
      </w:pPr>
      <w:r w:rsidRPr="00AA0D7C">
        <w:rPr>
          <w:rFonts w:ascii="Book Antiqua" w:hAnsi="Book Antiqua"/>
          <w:b/>
          <w:sz w:val="28"/>
          <w:szCs w:val="28"/>
        </w:rPr>
        <w:t>MEMORANDUM SHPJEGUES I PROJEKTLIGJI</w:t>
      </w:r>
      <w:r w:rsidR="00AA0D7C">
        <w:rPr>
          <w:rFonts w:ascii="Book Antiqua" w:hAnsi="Book Antiqua"/>
          <w:b/>
          <w:sz w:val="28"/>
          <w:szCs w:val="28"/>
        </w:rPr>
        <w:t>T</w:t>
      </w:r>
      <w:r w:rsidR="00AA0D7C" w:rsidRPr="00AA0D7C">
        <w:rPr>
          <w:rFonts w:ascii="Book Antiqua" w:hAnsi="Book Antiqua" w:cstheme="majorBidi"/>
          <w:b/>
          <w:bCs/>
          <w:color w:val="000000"/>
          <w:sz w:val="28"/>
          <w:szCs w:val="28"/>
          <w:lang w:val="sq-AL" w:eastAsia="en-GB"/>
        </w:rPr>
        <w:t>PËR NDRYSHIMIN DHE PLOTËSIMIN E LIGJIT NR. 05/L-053 PËR DHOMAT E SPECIALIZUARA DHE ZYRËN E PROKURORIT TË SPECIALIZUAR</w:t>
      </w:r>
    </w:p>
    <w:p w:rsidR="00AA0D7C" w:rsidRPr="00AA0D7C" w:rsidRDefault="00AA0D7C" w:rsidP="002F5841">
      <w:pPr>
        <w:spacing w:line="20" w:lineRule="atLeast"/>
        <w:jc w:val="center"/>
        <w:rPr>
          <w:rFonts w:ascii="Book Antiqua" w:hAnsi="Book Antiqua"/>
          <w:b/>
          <w:sz w:val="28"/>
          <w:szCs w:val="28"/>
          <w:lang w:val="sq-AL"/>
        </w:rPr>
      </w:pPr>
    </w:p>
    <w:p w:rsidR="00AA0D7C" w:rsidRDefault="00AA0D7C" w:rsidP="002F5841">
      <w:pPr>
        <w:spacing w:line="20" w:lineRule="atLeast"/>
        <w:jc w:val="center"/>
        <w:rPr>
          <w:rFonts w:ascii="Book Antiqua" w:hAnsi="Book Antiqua"/>
          <w:b/>
          <w:sz w:val="28"/>
          <w:szCs w:val="28"/>
        </w:rPr>
      </w:pPr>
    </w:p>
    <w:p w:rsidR="002F5841" w:rsidRDefault="002F5841" w:rsidP="0077718E">
      <w:pPr>
        <w:spacing w:line="20" w:lineRule="atLeast"/>
        <w:jc w:val="center"/>
        <w:rPr>
          <w:rFonts w:ascii="Book Antiqua" w:hAnsi="Book Antiqua"/>
          <w:b/>
          <w:sz w:val="28"/>
          <w:szCs w:val="28"/>
        </w:rPr>
      </w:pPr>
    </w:p>
    <w:p w:rsidR="00FC451A" w:rsidRDefault="00FC451A" w:rsidP="0077718E">
      <w:pPr>
        <w:spacing w:line="20" w:lineRule="atLeast"/>
        <w:jc w:val="center"/>
        <w:rPr>
          <w:rFonts w:ascii="Book Antiqua" w:hAnsi="Book Antiqua"/>
          <w:b/>
          <w:sz w:val="28"/>
          <w:szCs w:val="28"/>
        </w:rPr>
      </w:pPr>
    </w:p>
    <w:p w:rsidR="00FC451A" w:rsidRDefault="00FC451A" w:rsidP="0077718E">
      <w:pPr>
        <w:spacing w:line="20" w:lineRule="atLeast"/>
        <w:jc w:val="center"/>
        <w:rPr>
          <w:rFonts w:ascii="Book Antiqua" w:hAnsi="Book Antiqua"/>
          <w:b/>
          <w:sz w:val="28"/>
          <w:szCs w:val="28"/>
        </w:rPr>
      </w:pPr>
    </w:p>
    <w:p w:rsidR="00FC451A" w:rsidRDefault="00FC451A" w:rsidP="0077718E">
      <w:pPr>
        <w:spacing w:line="20" w:lineRule="atLeast"/>
        <w:jc w:val="center"/>
        <w:rPr>
          <w:rFonts w:ascii="Book Antiqua" w:hAnsi="Book Antiqua"/>
          <w:b/>
          <w:sz w:val="28"/>
          <w:szCs w:val="28"/>
        </w:rPr>
      </w:pPr>
    </w:p>
    <w:p w:rsidR="00FC451A" w:rsidRPr="00C86720" w:rsidRDefault="00FC451A" w:rsidP="0077718E">
      <w:pPr>
        <w:spacing w:line="20" w:lineRule="atLeast"/>
        <w:jc w:val="cente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p w:rsidR="0077718E" w:rsidRPr="00C86720" w:rsidRDefault="0077718E">
      <w:pPr>
        <w:rPr>
          <w:rFonts w:ascii="Book Antiqua" w:hAnsi="Book Antiqua"/>
        </w:rPr>
      </w:pPr>
    </w:p>
    <w:p w:rsidR="0077718E" w:rsidRPr="00C86720" w:rsidRDefault="0077718E">
      <w:pP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p w:rsidR="002F5841" w:rsidRPr="00C86720" w:rsidRDefault="002F5841">
      <w:pPr>
        <w:rPr>
          <w:rFonts w:ascii="Book Antiqua" w:hAnsi="Book Antiqua"/>
        </w:rPr>
      </w:pPr>
    </w:p>
    <w:tbl>
      <w:tblPr>
        <w:tblW w:w="1476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40"/>
        <w:gridCol w:w="4770"/>
        <w:gridCol w:w="4950"/>
      </w:tblGrid>
      <w:tr w:rsidR="00E8444E" w:rsidRPr="00C86720" w:rsidTr="00E8444E">
        <w:tc>
          <w:tcPr>
            <w:tcW w:w="5040" w:type="dxa"/>
          </w:tcPr>
          <w:p w:rsidR="00C906EB" w:rsidRPr="00C86720" w:rsidRDefault="00C906EB" w:rsidP="00AA398A">
            <w:pPr>
              <w:jc w:val="both"/>
              <w:rPr>
                <w:rFonts w:ascii="Book Antiqua" w:hAnsi="Book Antiqua"/>
                <w:b/>
              </w:rPr>
            </w:pPr>
          </w:p>
          <w:p w:rsidR="00FC451A" w:rsidRPr="00AA0D7C" w:rsidRDefault="00FC451A" w:rsidP="00FC451A">
            <w:pPr>
              <w:spacing w:line="20" w:lineRule="atLeast"/>
              <w:rPr>
                <w:rFonts w:ascii="Book Antiqua" w:hAnsi="Book Antiqua"/>
                <w:b/>
                <w:sz w:val="28"/>
                <w:szCs w:val="28"/>
              </w:rPr>
            </w:pPr>
            <w:r w:rsidRPr="00AA0D7C">
              <w:rPr>
                <w:rFonts w:ascii="Book Antiqua" w:hAnsi="Book Antiqua"/>
                <w:b/>
                <w:sz w:val="28"/>
                <w:szCs w:val="28"/>
              </w:rPr>
              <w:t>MEMORANDUM SHPJEGUES I PROJEKTLIGJI</w:t>
            </w:r>
            <w:r>
              <w:rPr>
                <w:rFonts w:ascii="Book Antiqua" w:hAnsi="Book Antiqua"/>
                <w:b/>
                <w:sz w:val="28"/>
                <w:szCs w:val="28"/>
              </w:rPr>
              <w:t>T</w:t>
            </w:r>
            <w:r w:rsidRPr="00AA0D7C">
              <w:rPr>
                <w:rFonts w:ascii="Book Antiqua" w:hAnsi="Book Antiqua" w:cstheme="majorBidi"/>
                <w:b/>
                <w:bCs/>
                <w:color w:val="000000"/>
                <w:sz w:val="28"/>
                <w:szCs w:val="28"/>
                <w:lang w:val="sq-AL" w:eastAsia="en-GB"/>
              </w:rPr>
              <w:t>PËR NDRYSHIMIN DHE PLOTËSIMIN E LIGJIT NR. 05/L-053 PËR DHOMAT E SPECIALIZUARA DHE ZYRËN E PROKURORIT TË SPECIALIZUAR</w:t>
            </w:r>
          </w:p>
          <w:p w:rsidR="00AA398A" w:rsidRPr="00C86720" w:rsidRDefault="00AA398A" w:rsidP="00FC451A">
            <w:pPr>
              <w:spacing w:line="20" w:lineRule="atLeast"/>
              <w:rPr>
                <w:rFonts w:ascii="Book Antiqua" w:hAnsi="Book Antiqua"/>
                <w:b/>
              </w:rPr>
            </w:pPr>
          </w:p>
          <w:p w:rsidR="00AA398A" w:rsidRPr="00C86720" w:rsidRDefault="00AA398A" w:rsidP="00AA398A">
            <w:pPr>
              <w:spacing w:line="20" w:lineRule="atLeast"/>
              <w:jc w:val="center"/>
              <w:rPr>
                <w:rFonts w:ascii="Book Antiqua" w:hAnsi="Book Antiqua"/>
                <w:b/>
              </w:rPr>
            </w:pPr>
          </w:p>
          <w:p w:rsidR="00AA398A" w:rsidRPr="00C86720" w:rsidRDefault="008C6F7D" w:rsidP="00AA398A">
            <w:pPr>
              <w:pStyle w:val="ListParagraph"/>
              <w:numPr>
                <w:ilvl w:val="0"/>
                <w:numId w:val="4"/>
              </w:numPr>
              <w:spacing w:line="20" w:lineRule="atLeast"/>
              <w:rPr>
                <w:rFonts w:ascii="Book Antiqua" w:hAnsi="Book Antiqua"/>
                <w:b/>
              </w:rPr>
            </w:pPr>
            <w:r w:rsidRPr="00C86720">
              <w:rPr>
                <w:rFonts w:ascii="Book Antiqua" w:hAnsi="Book Antiqua"/>
                <w:b/>
              </w:rPr>
              <w:t>Çështja Kryesore e T</w:t>
            </w:r>
            <w:r w:rsidR="00AA398A" w:rsidRPr="00C86720">
              <w:rPr>
                <w:rFonts w:ascii="Book Antiqua" w:hAnsi="Book Antiqua"/>
                <w:b/>
              </w:rPr>
              <w:t>rajtuar</w:t>
            </w:r>
          </w:p>
          <w:p w:rsidR="00AA398A" w:rsidRPr="00C86720" w:rsidRDefault="00AA398A" w:rsidP="00AA398A">
            <w:pPr>
              <w:spacing w:line="20" w:lineRule="atLeast"/>
              <w:rPr>
                <w:rFonts w:ascii="Book Antiqua" w:hAnsi="Book Antiqua"/>
                <w:b/>
              </w:rPr>
            </w:pPr>
          </w:p>
          <w:p w:rsidR="00AA398A" w:rsidRDefault="00FC451A" w:rsidP="00AA398A">
            <w:pPr>
              <w:jc w:val="both"/>
              <w:rPr>
                <w:rFonts w:ascii="Book Antiqua" w:hAnsi="Book Antiqua"/>
              </w:rPr>
            </w:pPr>
            <w:r w:rsidRPr="00FC451A">
              <w:rPr>
                <w:rFonts w:ascii="Book Antiqua" w:hAnsi="Book Antiqua"/>
              </w:rPr>
              <w:t xml:space="preserve">Ky ligj trajton përcaktimin dhe kufizimin e juridiksionit të Dhomave të Specializuara dhe Zyrës së Prokurorit të Specializuar (Gjykata Speciale), si dhe rivendosjen e autoritetit gjyqësor për krimet e luftës te gjykatat e rregullta të Republikës së Kosovës. Nevoja për këtë ndërhyrje vjen pas aktgjykimit të datës 16 shtator 2026 në rastin KSC-BC-2020-06 të Dhomës Kushtetuese, i cili dëshmoi se Gjykata Speciale ka tejkaluar qëllimin themelues dhe mandatin kushtetues të përgjegjësisë penale individuale duke e kualifikuar Ushtrinë Çlirimtare të Kosovës (UÇK) si një „ndërmarrje e përbashkët </w:t>
            </w:r>
            <w:r w:rsidRPr="00FC451A">
              <w:rPr>
                <w:rFonts w:ascii="Book Antiqua" w:hAnsi="Book Antiqua"/>
              </w:rPr>
              <w:lastRenderedPageBreak/>
              <w:t xml:space="preserve">kriminale“. Një përcaktim i tillë prodhon pasoja të rënda kushtetuese, historike dhe politike për shtetësinë dhe sovranitetin e Kosovës. Përmes këtij ligji, Kuvendi i Republikës së Kosovës ushtron autoritetin e tij sovran për ta harmonizuar ligjin me Nenin 162 të Kushtetutës dhe aktgjykimin KO26/15 të Gjykatës Kushtetuese, duke kufizuar fushëveprimin e Gjykatës Speciale vetëm brenda pretendimeve specifike të Raportit të Asamblesë Parlamentare të Këshillit të Evropës (Dok. 12462) të datës 7 janar 2011 dhe duke mbrojtur legjitimitetin e luftës çlirimtare.   </w:t>
            </w:r>
          </w:p>
          <w:p w:rsidR="00FC451A" w:rsidRDefault="00FC451A" w:rsidP="00AA398A">
            <w:pPr>
              <w:jc w:val="both"/>
              <w:rPr>
                <w:rFonts w:ascii="Book Antiqua" w:hAnsi="Book Antiqua"/>
              </w:rPr>
            </w:pPr>
          </w:p>
          <w:p w:rsidR="00FC451A" w:rsidRDefault="00FC451A" w:rsidP="00AA398A">
            <w:pPr>
              <w:jc w:val="both"/>
              <w:rPr>
                <w:rFonts w:ascii="Book Antiqua" w:hAnsi="Book Antiqua"/>
              </w:rPr>
            </w:pPr>
          </w:p>
          <w:p w:rsidR="00FC451A" w:rsidRPr="00C86720" w:rsidRDefault="00FC451A" w:rsidP="00AA398A">
            <w:pPr>
              <w:jc w:val="both"/>
              <w:rPr>
                <w:rFonts w:ascii="Book Antiqua" w:hAnsi="Book Antiqua"/>
              </w:rPr>
            </w:pPr>
          </w:p>
          <w:p w:rsidR="00AA398A" w:rsidRPr="00C86720" w:rsidRDefault="001E0D70" w:rsidP="00AA398A">
            <w:pPr>
              <w:jc w:val="both"/>
              <w:rPr>
                <w:rFonts w:ascii="Book Antiqua" w:hAnsi="Book Antiqua"/>
                <w:b/>
              </w:rPr>
            </w:pPr>
            <w:r w:rsidRPr="00C86720">
              <w:rPr>
                <w:rFonts w:ascii="Book Antiqua" w:hAnsi="Book Antiqua"/>
                <w:b/>
              </w:rPr>
              <w:t xml:space="preserve">2. Objektivat dhe Ndërlidhja e tyre </w:t>
            </w:r>
          </w:p>
          <w:p w:rsidR="00AA398A" w:rsidRPr="00C86720" w:rsidRDefault="00AA398A" w:rsidP="00AA398A">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Objektivat kryesore të këtij ligji janë:</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1.</w:t>
            </w:r>
            <w:r w:rsidRPr="00660823">
              <w:rPr>
                <w:rFonts w:ascii="Book Antiqua" w:hAnsi="Book Antiqua"/>
              </w:rPr>
              <w:tab/>
              <w:t>Përcaktimi i saktë ligjor i kompetencës lëndore, personale, kohore dhe territoriale të Gjykatës Speciale dhe Zyrës së Prokurorit të Specializuar, duke e kufizuar veprimtarinë e tyre ekskluzivisht në pretendimet specifike të Raportit të Asamblesë Parlamentare të Këshillit të Evropës (Dok. 12462, datë 7 janar 2011), në zbatim të Nenit 162 të Kushtetutës dhe Aktgjykimit KO26/15 të Gjykatës Kushtetuese.</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2.</w:t>
            </w:r>
            <w:r w:rsidRPr="00660823">
              <w:rPr>
                <w:rFonts w:ascii="Book Antiqua" w:hAnsi="Book Antiqua"/>
              </w:rPr>
              <w:tab/>
              <w:t>Parandalimi i stigmatizimit kolektiv dhe kriminalizimit të UÇK-së si ndërmarrje kriminale, duke marrë parasysh pasojat e rënda për rendin kushtetues dhe shtetësinë e Republikë së Kosovës.</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3.</w:t>
            </w:r>
            <w:r w:rsidRPr="00660823">
              <w:rPr>
                <w:rFonts w:ascii="Book Antiqua" w:hAnsi="Book Antiqua"/>
              </w:rPr>
              <w:tab/>
              <w:t>Të sigurohet që çështjet me rëndësi vitale për identitetin dhe historinë kombëtare të gjykohen brenda territorit sovran nga gjykatat e rregullta të Kosovës, të cilat gëzojnë legjitimitet demokratik dhe llogaridhënie para popullit të Kosovës, me mundësi vëzhgimi nga mekanizmat ndërkombëtarë.</w:t>
            </w:r>
          </w:p>
          <w:p w:rsidR="00660823" w:rsidRPr="00660823" w:rsidRDefault="00660823" w:rsidP="00660823">
            <w:pPr>
              <w:jc w:val="both"/>
              <w:rPr>
                <w:rFonts w:ascii="Book Antiqua" w:hAnsi="Book Antiqua"/>
              </w:rPr>
            </w:pPr>
          </w:p>
          <w:p w:rsidR="00F01A01" w:rsidRDefault="00660823" w:rsidP="00660823">
            <w:pPr>
              <w:jc w:val="both"/>
              <w:rPr>
                <w:rFonts w:ascii="Book Antiqua" w:hAnsi="Book Antiqua"/>
              </w:rPr>
            </w:pPr>
            <w:r w:rsidRPr="00660823">
              <w:rPr>
                <w:rFonts w:ascii="Book Antiqua" w:hAnsi="Book Antiqua"/>
              </w:rPr>
              <w:t>4.</w:t>
            </w:r>
            <w:r w:rsidRPr="00660823">
              <w:rPr>
                <w:rFonts w:ascii="Book Antiqua" w:hAnsi="Book Antiqua"/>
              </w:rPr>
              <w:tab/>
              <w:t>Mënjanimi i ndërhyrjeve gjyqësore të përgjithësuara nga trupa ndërkombëtarë të izoluar, të cilët përmes kualifikimeve të gjera kriminale rrezikojnë të thellojnë ndasitë e brendshme dhe të dëmtojnë unitetin shoqëror në Kosovë.</w:t>
            </w:r>
          </w:p>
          <w:p w:rsidR="006D4D4E" w:rsidRDefault="006D4D4E" w:rsidP="00660823">
            <w:pPr>
              <w:jc w:val="both"/>
              <w:rPr>
                <w:rFonts w:ascii="Book Antiqua" w:hAnsi="Book Antiqua"/>
              </w:rPr>
            </w:pPr>
          </w:p>
          <w:p w:rsidR="006D4D4E" w:rsidRDefault="006D4D4E" w:rsidP="00660823">
            <w:pPr>
              <w:jc w:val="both"/>
              <w:rPr>
                <w:rFonts w:ascii="Book Antiqua" w:hAnsi="Book Antiqua"/>
              </w:rPr>
            </w:pPr>
          </w:p>
          <w:p w:rsidR="006D4D4E" w:rsidRDefault="006D4D4E" w:rsidP="00660823">
            <w:pPr>
              <w:jc w:val="both"/>
              <w:rPr>
                <w:rFonts w:ascii="Book Antiqua" w:hAnsi="Book Antiqua"/>
              </w:rPr>
            </w:pPr>
          </w:p>
          <w:p w:rsidR="006D4D4E" w:rsidRDefault="006D4D4E" w:rsidP="00660823">
            <w:pPr>
              <w:jc w:val="both"/>
              <w:rPr>
                <w:rFonts w:ascii="Book Antiqua" w:hAnsi="Book Antiqua"/>
              </w:rPr>
            </w:pPr>
          </w:p>
          <w:p w:rsidR="006D4D4E" w:rsidRDefault="006D4D4E" w:rsidP="00660823">
            <w:pPr>
              <w:jc w:val="both"/>
              <w:rPr>
                <w:rFonts w:ascii="Book Antiqua" w:hAnsi="Book Antiqua"/>
              </w:rPr>
            </w:pPr>
          </w:p>
          <w:p w:rsidR="006D4D4E" w:rsidRDefault="006D4D4E" w:rsidP="00660823">
            <w:pPr>
              <w:jc w:val="both"/>
              <w:rPr>
                <w:rFonts w:ascii="Book Antiqua" w:hAnsi="Book Antiqua"/>
              </w:rPr>
            </w:pPr>
          </w:p>
          <w:p w:rsidR="006D4D4E" w:rsidRPr="00C86720" w:rsidRDefault="006D4D4E" w:rsidP="00660823">
            <w:pPr>
              <w:jc w:val="both"/>
              <w:rPr>
                <w:rFonts w:ascii="Book Antiqua" w:hAnsi="Book Antiqua"/>
              </w:rPr>
            </w:pPr>
          </w:p>
          <w:p w:rsidR="0024383F" w:rsidRPr="00C86720" w:rsidRDefault="0024383F" w:rsidP="00AA398A">
            <w:pPr>
              <w:jc w:val="both"/>
              <w:rPr>
                <w:rFonts w:ascii="Book Antiqua" w:hAnsi="Book Antiqua"/>
              </w:rPr>
            </w:pPr>
          </w:p>
          <w:p w:rsidR="00926FAD" w:rsidRPr="00C86720" w:rsidRDefault="00926FAD" w:rsidP="00AA398A">
            <w:pPr>
              <w:jc w:val="both"/>
              <w:rPr>
                <w:rFonts w:ascii="Book Antiqua" w:hAnsi="Book Antiqua"/>
              </w:rPr>
            </w:pPr>
          </w:p>
          <w:p w:rsidR="00AA398A" w:rsidRPr="00C86720" w:rsidRDefault="00AE1E90" w:rsidP="00AE1E90">
            <w:pPr>
              <w:pStyle w:val="ListParagraph"/>
              <w:numPr>
                <w:ilvl w:val="0"/>
                <w:numId w:val="5"/>
              </w:numPr>
              <w:spacing w:line="276" w:lineRule="auto"/>
              <w:ind w:left="0" w:firstLine="0"/>
              <w:rPr>
                <w:rFonts w:ascii="Book Antiqua" w:hAnsi="Book Antiqua"/>
                <w:b/>
              </w:rPr>
            </w:pPr>
            <w:r w:rsidRPr="00C86720">
              <w:rPr>
                <w:rFonts w:ascii="Book Antiqua" w:hAnsi="Book Antiqua"/>
                <w:b/>
              </w:rPr>
              <w:lastRenderedPageBreak/>
              <w:t>Opsioni i R</w:t>
            </w:r>
            <w:r w:rsidR="00AA398A" w:rsidRPr="00C86720">
              <w:rPr>
                <w:rFonts w:ascii="Book Antiqua" w:hAnsi="Book Antiqua"/>
                <w:b/>
              </w:rPr>
              <w:t>ekomanduar</w:t>
            </w:r>
          </w:p>
          <w:p w:rsidR="00AA398A" w:rsidRPr="00C86720" w:rsidRDefault="00AA398A" w:rsidP="00AA398A">
            <w:pPr>
              <w:spacing w:line="276" w:lineRule="auto"/>
              <w:rPr>
                <w:rFonts w:ascii="Book Antiqua" w:hAnsi="Book Antiqua"/>
                <w:b/>
              </w:rPr>
            </w:pPr>
          </w:p>
          <w:p w:rsidR="00660823" w:rsidRPr="00660823" w:rsidRDefault="00660823" w:rsidP="00660823">
            <w:pPr>
              <w:tabs>
                <w:tab w:val="left" w:pos="1260"/>
              </w:tabs>
              <w:rPr>
                <w:rFonts w:ascii="Book Antiqua" w:hAnsi="Book Antiqua"/>
              </w:rPr>
            </w:pPr>
            <w:r w:rsidRPr="00660823">
              <w:rPr>
                <w:rFonts w:ascii="Book Antiqua" w:hAnsi="Book Antiqua"/>
              </w:rPr>
              <w:t>Opsioni i rekomanduar është miratimi i ndryshimeve dhe plotësimeve në Ligjin nr. 05/L-053 për Dhomat e Specializuara dhe Zyrën e Prokurorit të Specializuar.</w:t>
            </w:r>
          </w:p>
          <w:p w:rsidR="00660823" w:rsidRPr="00660823" w:rsidRDefault="00660823" w:rsidP="00660823">
            <w:pPr>
              <w:tabs>
                <w:tab w:val="left" w:pos="1260"/>
              </w:tabs>
              <w:rPr>
                <w:rFonts w:ascii="Book Antiqua" w:hAnsi="Book Antiqua"/>
              </w:rPr>
            </w:pPr>
          </w:p>
          <w:p w:rsidR="00660823" w:rsidRPr="00660823" w:rsidRDefault="00660823" w:rsidP="00660823">
            <w:pPr>
              <w:tabs>
                <w:tab w:val="left" w:pos="1260"/>
              </w:tabs>
              <w:rPr>
                <w:rFonts w:ascii="Book Antiqua" w:hAnsi="Book Antiqua"/>
              </w:rPr>
            </w:pPr>
            <w:r w:rsidRPr="00660823">
              <w:rPr>
                <w:rFonts w:ascii="Book Antiqua" w:hAnsi="Book Antiqua"/>
              </w:rPr>
              <w:t xml:space="preserve">Ky opsion rekomandohet sepse Kuvendi i Republikës së Kosovës gëzon autoritet të plotë kushtetues dhe detyrim ligjor, siç është konfirmuar nga Paneli Kushtetues i Gjykatës Speciale në Vendimin KSC-CC-2022-15 dhe Gjykata Kushtetuese në Aktgjykimin KO26/15 për të saktësuar me ligj kompetencën e këtij institucioni, duke rivendosur llogaridhënien demokratike dhe mbrojtjen e interesave vitale shtetërore. </w:t>
            </w:r>
          </w:p>
          <w:p w:rsidR="00E8444E" w:rsidRDefault="00E8444E" w:rsidP="00660823">
            <w:pPr>
              <w:tabs>
                <w:tab w:val="left" w:pos="1260"/>
              </w:tabs>
              <w:rPr>
                <w:rFonts w:ascii="Book Antiqua" w:hAnsi="Book Antiqua"/>
              </w:rPr>
            </w:pPr>
          </w:p>
          <w:p w:rsidR="00660823" w:rsidRDefault="00660823" w:rsidP="00AA398A">
            <w:pPr>
              <w:rPr>
                <w:rFonts w:ascii="Book Antiqua" w:hAnsi="Book Antiqua"/>
              </w:rPr>
            </w:pPr>
          </w:p>
          <w:p w:rsidR="00660823" w:rsidRDefault="00660823" w:rsidP="00AA398A">
            <w:pPr>
              <w:rPr>
                <w:rFonts w:ascii="Book Antiqua" w:hAnsi="Book Antiqua"/>
              </w:rPr>
            </w:pPr>
          </w:p>
          <w:p w:rsidR="00660823" w:rsidRDefault="00660823" w:rsidP="00AA398A">
            <w:pPr>
              <w:rPr>
                <w:rFonts w:ascii="Book Antiqua" w:hAnsi="Book Antiqua"/>
              </w:rPr>
            </w:pPr>
          </w:p>
          <w:p w:rsidR="00660823" w:rsidRDefault="00660823" w:rsidP="00AA398A">
            <w:pPr>
              <w:rPr>
                <w:rFonts w:ascii="Book Antiqua" w:hAnsi="Book Antiqua"/>
              </w:rPr>
            </w:pPr>
          </w:p>
          <w:p w:rsidR="00660823" w:rsidRDefault="00660823" w:rsidP="00AA398A">
            <w:pPr>
              <w:rPr>
                <w:rFonts w:ascii="Book Antiqua" w:hAnsi="Book Antiqua"/>
              </w:rPr>
            </w:pPr>
          </w:p>
          <w:p w:rsidR="00660823" w:rsidRPr="00C86720" w:rsidRDefault="00660823" w:rsidP="00AA398A">
            <w:pPr>
              <w:rPr>
                <w:rFonts w:ascii="Book Antiqua" w:hAnsi="Book Antiqua"/>
              </w:rPr>
            </w:pPr>
          </w:p>
          <w:p w:rsidR="00AA398A" w:rsidRPr="00660823" w:rsidRDefault="00AD3552" w:rsidP="00660823">
            <w:pPr>
              <w:pStyle w:val="ListParagraph"/>
              <w:numPr>
                <w:ilvl w:val="0"/>
                <w:numId w:val="5"/>
              </w:numPr>
              <w:jc w:val="both"/>
              <w:rPr>
                <w:rFonts w:ascii="Book Antiqua" w:hAnsi="Book Antiqua"/>
                <w:b/>
              </w:rPr>
            </w:pPr>
            <w:r w:rsidRPr="00660823">
              <w:rPr>
                <w:rFonts w:ascii="Book Antiqua" w:hAnsi="Book Antiqua"/>
                <w:b/>
              </w:rPr>
              <w:t>Arsyetimi i Propozimit</w:t>
            </w:r>
          </w:p>
          <w:p w:rsidR="00660823" w:rsidRDefault="00660823" w:rsidP="00660823">
            <w:pPr>
              <w:jc w:val="both"/>
              <w:rPr>
                <w:rFonts w:ascii="Book Antiqua" w:hAnsi="Book Antiqua"/>
                <w:b/>
              </w:rPr>
            </w:pPr>
          </w:p>
          <w:p w:rsidR="00660823" w:rsidRPr="00660823" w:rsidRDefault="00660823" w:rsidP="00660823">
            <w:pPr>
              <w:jc w:val="both"/>
              <w:rPr>
                <w:rFonts w:ascii="Book Antiqua" w:hAnsi="Book Antiqua"/>
                <w:bCs/>
              </w:rPr>
            </w:pPr>
            <w:r w:rsidRPr="00660823">
              <w:rPr>
                <w:rFonts w:ascii="Book Antiqua" w:hAnsi="Book Antiqua"/>
                <w:bCs/>
              </w:rPr>
              <w:t xml:space="preserve">Aktgjykimi i Trupit Gjykues të Gjykatës Speciale në rastin “Prokurori i Specializuar kundër Hashim Thaçit, Kadri Veselit, Rexhep Selimit dhe Jakup Krasniqit” i datës 16 shtator 2026 (KSC-BC-2020-06) dëshmon </w:t>
            </w:r>
            <w:r w:rsidRPr="00660823">
              <w:rPr>
                <w:rFonts w:ascii="Book Antiqua" w:hAnsi="Book Antiqua"/>
                <w:bCs/>
              </w:rPr>
              <w:lastRenderedPageBreak/>
              <w:t>se Dhomat e Specializuara të Kosovës (Gjykata Speciale) e kanë tejkaluar qëllimin dhe arsyen fillestare të themelimit të tyre. Ndonëse u themeluan për të gjykuar pretendime specifike të përgjegjësisë penale individuale, Gjykata Speciale ka nxjerrë një aktgjykim që kriminalizon jo vetëm individë të caktuar por tërë Ushtrinë Çlirimtare të Kosovës (UÇK).</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 xml:space="preserve">Një aktgjykim i tillë ka pasoja të rënda kushtetuese, historike dhe politike për Republikën e Kosovës dhe popullin e Kosovës. Gjykimi i çështjeve të tilla me peshë kombëtare nuk mund t’i delegohet një tribunali me personel ndërkombëtar, i cili funksionon jashtë llogaridhënies demokratike dhe nuk gëzon legjitimitet demokratik për këtë qëllim. Prandaj, Kuvendi i Republikës së Kosovës duhet të ushtrojë autoritetin e tij sovran për ta përshtatur juridiksionin e Gjykatës Speciale me qëllimin e themelimit të saj dhe të sigurojë që autoriteti gjyqësor lidhur me llogaridhënien për kohën e luftës t’u vishet gjykatave të rregullta, që i japin llogari demokratike popullit të Kosovës. Kjo bëhet me qëllim të mbrojtjes së legjitimitetit të shtetësisë së Kosovës, ruajtjes së sundimit të ligjit dhe garantimit të llogaridhënies demokratike kur trajtohen çështje me interes </w:t>
            </w:r>
            <w:r w:rsidRPr="00660823">
              <w:rPr>
                <w:rFonts w:ascii="Book Antiqua" w:hAnsi="Book Antiqua"/>
                <w:bCs/>
              </w:rPr>
              <w:lastRenderedPageBreak/>
              <w:t>vital kombëtar.</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Kur u miratuan amendamentet kushtetuese që themeluan Gjykatën Speciale, Gjykata Speciale u mendua si një trup gjyqësor për të trajtuar pretendime specifike të përgjegjësisë penale individuale. Në përmbledhjen e aktgjykimit të datës 16 shtator 2026, trupi gjykues i Gjykatës Speciale e nis me deklaratën se “[k]y rast nuk ka të bëjë me legjitimitetin e Ushtrisë Çlirimtare të Kosovës dhe qëllimin e saj për një Kosovë të pavarur”. Megjithatë, gjetjet thelbësore të trupit Gjykues bien në kundërshtim të drejtpërdrejtë dhe të plotë me këtë deklaratë. Themeli i aktgjykimit është kualifikimi i UÇK-së si një ndërmarrje e përbashkët kriminale, e cila përfshin tërë udhëheqjen qendrore, organet politike dhe strukturat ushtarake të UÇK-së.</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 xml:space="preserve">Trupi gjykues arriti në përfundimin se katër të akuzuarit dhe udhëheqës të tjerë të UÇK-së ndoqën qëllimin e dyfishtë të sigurimit të pavarësisë dhe vendosjes së kontrollit politik e institucional. Trupi gjykues konstatoi se udhëheqja e UÇK-së ndante qëndrimin se një komponent kritik i arritjes së këtyre qëllimeve ishte vënia në shënjestër, eliminimi ose neutralizimi i atyre që perceptoheshin si “kundërshtarë”. Gjykata Speciale pohon se </w:t>
            </w:r>
            <w:r w:rsidRPr="00660823">
              <w:rPr>
                <w:rFonts w:ascii="Book Antiqua" w:hAnsi="Book Antiqua"/>
                <w:bCs/>
              </w:rPr>
              <w:lastRenderedPageBreak/>
              <w:t>udhëheqja e UÇK-së u pajtua për një qëllim të përbashkët kriminal, ndërtoi një sistem për ta arritur atë, themeloi dhe rregulloi një polici ushtarake, një shërbim zbulimi dhe njësi speciale për të përmbushur këtë plan, si dhe lëshoi komunikata duke sulmuar armiqtë dhe duke marrë përgjegjësinë për ndalime e vrasje.</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Gjykata Speciale konstatoi se plani përfshinte ngritjen e objekteve të ndalimit në të gjitha zonat e kontrolluara nga UÇK-ja, identifikimin e kundërshtarëve, ndalimin e tyre dhe vrasjen e tyre. Ajo e paraqiti këtë plan si të zbatuar në mënyrë sistematike dhe të pamëshirshme në të gjithë territorin dhe përgjatë gjithë konfliktit.</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 xml:space="preserve">Gjykata Speciale deklaroi se kategoritë e vëna në shënjestër nga UÇK-ja përfshinin jo vetëm individë që pretendohej se ishin të lidhur me autoritetet e RFJ-së/Serbisë, por edhe lëvizje politike si Lidhja Demokratike e Kosovës (LDK) dhe Forcat e Armatosura të Republikës së Kosovës (FARK), si dhe anëtarë të pakicave etnike. Gjykata Speciale e zgjeroi ndërmarrjen e përbashkët kriminale përtej Shtabit të Përgjithshëm të UÇK-së dhe përmend Fatmir Limajn, Sabit Gecin, Rrustem Mustafën dhe Latif Gashin si zbatues shtesë të qëllimit të përbashkët </w:t>
            </w:r>
            <w:r w:rsidRPr="00660823">
              <w:rPr>
                <w:rFonts w:ascii="Book Antiqua" w:hAnsi="Book Antiqua"/>
                <w:bCs/>
              </w:rPr>
              <w:lastRenderedPageBreak/>
              <w:t>kriminal. Duke e paraqitur Shtabin e Përgjithshëm të UÇK-së, mekanizmat e saj të zbulimit, policinë ushtarake dhe komunikatat zyrtare të UÇK-së si instrumente të një ndërmarrjeje të përbashkët kriminale, Gjykata Speciale në fakt e ka gjykuar tërë UÇK-në si një organizatë kriminale.</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Stigmatizimi kolektiv i UÇK-së si një ndërmarrje e përbashkët kriminale ka pasoja të rënda dhe të rrezikshme për Republikën e Kosovës.</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1.</w:t>
            </w:r>
            <w:r w:rsidRPr="00660823">
              <w:rPr>
                <w:rFonts w:ascii="Book Antiqua" w:hAnsi="Book Antiqua"/>
                <w:bCs/>
              </w:rPr>
              <w:tab/>
              <w:t>Sovraniteti, pavarësia dhe rendi kushtetues i Kosovës janë historikisht të rrënjosura në rezistencën e drejtë të popullit të Kosovës, të mishëruar në UÇK, kundër shtypjes sistematike dhe spastrimit etnik nga RFJ-ja/Serbia. Duke e kualifikuar UÇK-në si një organizatë kriminale, Gjykata Speciale u ofron kundërshtarëve të shtetësisë dhe pavarësisë së Kosovës një instrument gjyqësor për të kontestuar legjitimitetin moral dhe politik të shtetësisë së Kosovës.</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2.</w:t>
            </w:r>
            <w:r w:rsidRPr="00660823">
              <w:rPr>
                <w:rFonts w:ascii="Book Antiqua" w:hAnsi="Book Antiqua"/>
                <w:bCs/>
              </w:rPr>
              <w:tab/>
              <w:t xml:space="preserve">Kundërshtarët e shtetësisë dhe pavarësisë së Kosovës dhe shtetet mosnjohëse mund t’i shfrytëzojnë këto gjetje, veçanërisht cilësimin e trupave politike dhe ushtarake të UÇK-së si ndërmarrje kriminale, </w:t>
            </w:r>
            <w:r w:rsidRPr="00660823">
              <w:rPr>
                <w:rFonts w:ascii="Book Antiqua" w:hAnsi="Book Antiqua"/>
                <w:bCs/>
              </w:rPr>
              <w:lastRenderedPageBreak/>
              <w:t>për të goditur edhe më tej përpjekjet e Kosovës për integrim në organizata ndërkombëtare.</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3.</w:t>
            </w:r>
            <w:r w:rsidRPr="00660823">
              <w:rPr>
                <w:rFonts w:ascii="Book Antiqua" w:hAnsi="Book Antiqua"/>
                <w:bCs/>
              </w:rPr>
              <w:tab/>
              <w:t>Uniteti i kombit cenohet kur trupa gjykues të përbërë nga të huaj nxjerrin aktgjykime të përgjithësuara lidhur me ndasitë e brendshme politike të kohës së luftës, si p.sh. ndërmjet UÇK-së, LDK-së dhe FARK-ut. Përcaktime të tilla, të vendosura në kuadër të një aktviteti kolektiv kriminal, mund të rihapin plagë të brendshme historike në vend që të mbështesin dhe çojnë përpara paqen shoqërore.</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Legjitimiteti i drejtësisë penale buron nga sovraniteti demokratik i popullit. Përbërja dhe funksionimi i Gjykatës Speciale ka mangësi thelbësore demokratike dhe të llogaridhënies.</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1.</w:t>
            </w:r>
            <w:r w:rsidRPr="00660823">
              <w:rPr>
                <w:rFonts w:ascii="Book Antiqua" w:hAnsi="Book Antiqua"/>
                <w:bCs/>
              </w:rPr>
              <w:tab/>
              <w:t>Gjykata Speciale është një institucion i përbërë vetëm nga personel ndërkombëtar me seli kryesisht në Hagë, e cila funksionon tërësisht e izoluar nga institucionet demokratike, kontrollet kushtetuese dhe populli i Kosovës, në emër të të cilit synon të ndajë drejtësi.</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2.</w:t>
            </w:r>
            <w:r w:rsidRPr="00660823">
              <w:rPr>
                <w:rFonts w:ascii="Book Antiqua" w:hAnsi="Book Antiqua"/>
                <w:bCs/>
              </w:rPr>
              <w:tab/>
              <w:t xml:space="preserve">Vendimet gjyqësore që ndikojnë në identitetin dhe historinë kolektive politike, si </w:t>
            </w:r>
            <w:r w:rsidRPr="00660823">
              <w:rPr>
                <w:rFonts w:ascii="Book Antiqua" w:hAnsi="Book Antiqua"/>
                <w:bCs/>
              </w:rPr>
              <w:lastRenderedPageBreak/>
              <w:t>dhe në sovranitetin dhe integritetin kushtetues të një vendi duhet të gjykohen nga gjykatat e rregullta, me mandat demokratik dhe llogaridhënëse brenda territorit sovran të Kosovës. Gjyqtarët vendorë funksionojnë brenda kornizës kushtetuese të Republikës dhe sigurojnë llogaridhënie para qytetarëve, duke siguruar njëkohësisht përgjegjësinë penale individuale. Prandaj, çdo cilësim gjyqësor i UÇK-së është prerogativë e gjykatave të rregullta, me mandat demokratik dhe llogaridhënëse në Kosovë.</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3.</w:t>
            </w:r>
            <w:r w:rsidRPr="00660823">
              <w:rPr>
                <w:rFonts w:ascii="Book Antiqua" w:hAnsi="Book Antiqua"/>
                <w:bCs/>
              </w:rPr>
              <w:tab/>
              <w:t>Sistemi gjyqësor i rregullt i Kosovës, duke përfshirë departamentet e specializuara për krimet e luftës brenda gjykatave vendore, ka zhvilluar kapacitetin, profesionalizmin dhe pjekurinë juridike të nevojshme për të trajtuar raste komplekse të kohës së luftës. Organizatat ndërkombëtare mund të marrin pjesë dhe të vëzhgojnë çdo procedurë gjyqësore për të verifikuar pajtueshmërinë me standardet e sundimit të ligjit dhe të drejtave të njeriut.</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 xml:space="preserve">Juridiksioni i gjerë i Gjykatës Speciale është gjithashtu kundërkushtetues. Neni 162 i Kushtetutës së Republikës së Kosovës (Amendamenti nr. 24) autorizon Republikën e Kosovës të themelojë Gjykatën Speciale dhe </w:t>
            </w:r>
            <w:r w:rsidRPr="00660823">
              <w:rPr>
                <w:rFonts w:ascii="Book Antiqua" w:hAnsi="Book Antiqua"/>
                <w:bCs/>
              </w:rPr>
              <w:lastRenderedPageBreak/>
              <w:t>Zyrën e Prokurorit të Specializuar brenda sistemit të drejtësisë të Kosovës për të përmbushur detyrimet e saj ndërkombëtare në lidhje me Raportin e Asamblesë Parlamentare të Këshillit të Evropës, Dok. 12462, të datës 7 janar 2011. Neni 162 i Kushtetutës përcakton që organizimi, funksionimi dhe juridiksioni i Gjykatës Speciale dhe Zyrës së Prokurorit të Specializuar do të rregullohen me ligj të veçantë.</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 xml:space="preserve">Në aktgjykimin e saj në rastin nr. KO26/15 të datës 15 prill 2015, Gjykata Kushtetuese shqyrtoi nëse Amendamenti 24, konkretisht neni i ri 162 i Kushtetutës, ishte në përputhje me Kushtetutën. Gjykata Kushtetuese vuri në dukje se një gjykatë e specializuar, siç përcaktohet në nenin 162, nënkupton një gjykatë me juridiksion të përcaktuar në menyrë specifike (rasti nr. KO26/15, paragrafi 43). Gjykata Kushtetuese konfirmoi se Gjykata Speciale dhe Zyra e Prokurorit të Specializuar do të (a) themelohen me ligj, (b) jenë në përputhje me strukturën ekzistuese të sistemit të drejtësisë së Republikës së Kosovës, (c) kenë një juridiksion specifik, (d) funksionojnë brenda kornizës ligjore të drejtësisë penale, dhe (e) janë të nevojshme që Republika e Kosovës të përmbushë detyrimet e saj ndërkombëtare (rasti nr. </w:t>
            </w:r>
            <w:r w:rsidRPr="00660823">
              <w:rPr>
                <w:rFonts w:ascii="Book Antiqua" w:hAnsi="Book Antiqua"/>
                <w:bCs/>
              </w:rPr>
              <w:lastRenderedPageBreak/>
              <w:t>KO26/15, paragrafi 68). Detyrimet ndërkombëtare të Kosovës, të cilat burojnë nga shkëmbimi i letrave i 14 prillit 2014 ndërmjet Presidentes së Kosovës dhe Përfaqësueses së Lartë të Bashkimit për Punë të Jashtme dhe Politikë të Sigurisë/Nënkryetares së Komisionit Evropian, i ratifikuar me Ligjin nr. 04/L-274 si marrëveshje ndërkombëtare, ndërlidhen vetëm me Raportin e Asamblesë Parlamentare të Këshillit të Evropës, Dok. 12462, të datës 7 janar 2011.</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Thelbi i vlerësimit të Gjykatës Kushtetuese është se ligji, i cili do të themelojë Gjykatën Speciale dhe Zyrën e Prokurorit të Specializuar, do të përcaktojë juridiksion të specifikuar në lidhje me Raportin e Asamblesë Parlamentare të Këshillit të Evropës, Dok. 12462, të datës 7 janar 2011.</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Megjithatë, në vendimin e saj KSC-CC-2022-15 të 13 qershorit 2022, Paneli Kushtetues i Gjykatës Speciale konfirmoi se juridiksioni i Gjykatës Speciale dhe Zyrës së Prokurorit të Specializuar, i përcaktuar në Ligjin nr. 05/L-053, është më i gjerë se pretendimet specifike të cekura në Raportin e Asamblesë Parlamentare të Këshillit të Evropës, Dok. 12462, të datës 7 janar 2011.</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lastRenderedPageBreak/>
              <w:t>Paneli Kushtetues i Gjykatës Speciale konfirmoi se as neni 162 i Kushtetutës dhe as Shkëmbimi i Letrave i vitit 2014 nuk i përcaktojnë parametrat e juridiksionit personal, kohor, territorial dhe lëndor të Gjykatës Speciale. Përkundrazi, juridiksioni i Gjykatës Speciale është përcaktuar me ligj (Vendimi KSC-CC-2022-15, paragrafët 76 dhe 84). Për më tepër, Paneli Kushtetues i Gjykatës Speciale deklaroi se po të kishin pasur qëllimin hartuesit e ligjit të kufizojnë juridiksionin e Gjykatës Speciale vetëm në pretendimet specifike të cekura në Raport, e jo në kontekstin e përgjithshëm dhe konkluzionet e Raportit, ata do ta kishin bërë këtë shprehimisht në ligj (Vendimi KSC-CC-2022-15, paragrafi 83).</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t>Një juridiksion i tillë i gjerë, i cili tejkalon pretendimet specifike në Raportin e Asamblesë Parlamentare të Këshillit të Evropës, Dok. 12462, të datës 7 janar 2011, nuk është në përputhje me parametrin e vendosur nga Gjykata Kushtetuese e Republikës së Kosovës se ligji, i cili do të themelojë Gjykatën Speciale dhe Zyrën e Prokurorit të Specializuar, do të përcaktojë një juridiksion specifik në lidhje me Raportin e Asamblesë Parlamentare të Këshillit të Evropës, Dok. 12462, të datës 7 janar 2011.</w:t>
            </w:r>
          </w:p>
          <w:p w:rsidR="00660823" w:rsidRPr="00660823" w:rsidRDefault="00660823" w:rsidP="00660823">
            <w:pPr>
              <w:jc w:val="both"/>
              <w:rPr>
                <w:rFonts w:ascii="Book Antiqua" w:hAnsi="Book Antiqua"/>
                <w:bCs/>
              </w:rPr>
            </w:pPr>
          </w:p>
          <w:p w:rsidR="00660823" w:rsidRPr="00660823" w:rsidRDefault="00660823" w:rsidP="00660823">
            <w:pPr>
              <w:jc w:val="both"/>
              <w:rPr>
                <w:rFonts w:ascii="Book Antiqua" w:hAnsi="Book Antiqua"/>
                <w:bCs/>
              </w:rPr>
            </w:pPr>
            <w:r w:rsidRPr="00660823">
              <w:rPr>
                <w:rFonts w:ascii="Book Antiqua" w:hAnsi="Book Antiqua"/>
                <w:bCs/>
              </w:rPr>
              <w:lastRenderedPageBreak/>
              <w:t>Prandaj, përcaktimi i fushëveprimit të juridiksionit të Gjykatës Speciale në mënyrë specifike, dhe jo me terma të përgjithshëm e të gjerë në lidhje me Raportin e Asamblesë Parlamentare të Këshillit të Evropës, Dok. 12462, të datës 7 janar 2011 dhe pretendimet e ngritura aty, nuk është vetëm në diskrecionin e Kuvendit të Kosovës, por përkundrazi përbën një detyrim kushtetues. Siç është konfirmuar nga Paneli Kushtetues i Gjykatës Speciale në Vendimin KSC-CC-2022-15 të datës 13 qershor 2022, Kuvendi i Republikës së Kosovës ka autoritet të plotë kushtetues për ta bërë këtë.</w:t>
            </w:r>
          </w:p>
          <w:p w:rsidR="00660823" w:rsidRPr="00660823" w:rsidRDefault="00660823" w:rsidP="00660823">
            <w:pPr>
              <w:jc w:val="both"/>
              <w:rPr>
                <w:rFonts w:ascii="Book Antiqua" w:hAnsi="Book Antiqua"/>
                <w:bCs/>
              </w:rPr>
            </w:pPr>
          </w:p>
          <w:p w:rsidR="00660823" w:rsidRPr="00660823" w:rsidRDefault="00660823" w:rsidP="00660823">
            <w:pPr>
              <w:rPr>
                <w:rFonts w:ascii="Book Antiqua" w:hAnsi="Book Antiqua"/>
                <w:b/>
              </w:rPr>
            </w:pPr>
          </w:p>
          <w:p w:rsidR="00660823" w:rsidRPr="00660823" w:rsidRDefault="00660823" w:rsidP="00660823">
            <w:pPr>
              <w:rPr>
                <w:rFonts w:ascii="Book Antiqua" w:hAnsi="Book Antiqua"/>
                <w:b/>
              </w:rPr>
            </w:pPr>
          </w:p>
          <w:p w:rsidR="00660823" w:rsidRPr="00660823" w:rsidRDefault="00660823" w:rsidP="00660823">
            <w:pPr>
              <w:jc w:val="both"/>
              <w:rPr>
                <w:rFonts w:ascii="Book Antiqua" w:hAnsi="Book Antiqua"/>
                <w:b/>
              </w:rPr>
            </w:pPr>
          </w:p>
          <w:p w:rsidR="00AA398A" w:rsidRPr="00C86720" w:rsidRDefault="00AA398A" w:rsidP="00AA398A">
            <w:pPr>
              <w:jc w:val="both"/>
              <w:rPr>
                <w:rFonts w:ascii="Book Antiqua" w:hAnsi="Book Antiqua"/>
              </w:rPr>
            </w:pPr>
          </w:p>
          <w:p w:rsidR="00AA398A" w:rsidRPr="00C86720" w:rsidRDefault="00AA398A" w:rsidP="00AA398A">
            <w:pPr>
              <w:jc w:val="both"/>
              <w:rPr>
                <w:rFonts w:ascii="Book Antiqua" w:hAnsi="Book Antiqua"/>
              </w:rPr>
            </w:pPr>
          </w:p>
          <w:p w:rsidR="00AA398A" w:rsidRPr="00C86720" w:rsidRDefault="00AA398A" w:rsidP="00AA398A">
            <w:pPr>
              <w:jc w:val="both"/>
              <w:rPr>
                <w:rFonts w:ascii="Book Antiqua" w:hAnsi="Book Antiqua"/>
              </w:rPr>
            </w:pPr>
          </w:p>
          <w:p w:rsidR="00AA398A" w:rsidRPr="00C86720" w:rsidRDefault="00B43BF8" w:rsidP="00AA398A">
            <w:pPr>
              <w:jc w:val="both"/>
              <w:rPr>
                <w:rFonts w:ascii="Book Antiqua" w:hAnsi="Book Antiqua"/>
                <w:b/>
              </w:rPr>
            </w:pPr>
            <w:r w:rsidRPr="00C86720">
              <w:rPr>
                <w:rFonts w:ascii="Book Antiqua" w:hAnsi="Book Antiqua"/>
                <w:b/>
              </w:rPr>
              <w:t>5. Elementet K</w:t>
            </w:r>
            <w:r w:rsidR="00AA398A" w:rsidRPr="00C86720">
              <w:rPr>
                <w:rFonts w:ascii="Book Antiqua" w:hAnsi="Book Antiqua"/>
                <w:b/>
              </w:rPr>
              <w:t xml:space="preserve">ryesore të </w:t>
            </w:r>
            <w:r w:rsidRPr="00C86720">
              <w:rPr>
                <w:rFonts w:ascii="Book Antiqua" w:hAnsi="Book Antiqua"/>
                <w:b/>
              </w:rPr>
              <w:t>Legjislacionit ose Politikës së P</w:t>
            </w:r>
            <w:r w:rsidR="00AA398A" w:rsidRPr="00C86720">
              <w:rPr>
                <w:rFonts w:ascii="Book Antiqua" w:hAnsi="Book Antiqua"/>
                <w:b/>
              </w:rPr>
              <w:t>ropozuar (përmbajtja, instrumentet e politikave, kostoja, procedurat administrative).</w:t>
            </w:r>
          </w:p>
          <w:p w:rsidR="00AA398A" w:rsidRPr="00C86720" w:rsidRDefault="00AA398A" w:rsidP="00AA398A">
            <w:pPr>
              <w:jc w:val="both"/>
              <w:rPr>
                <w:rFonts w:ascii="Book Antiqua" w:hAnsi="Book Antiqua"/>
                <w:b/>
              </w:rPr>
            </w:pPr>
          </w:p>
          <w:p w:rsidR="00660823" w:rsidRPr="00660823" w:rsidRDefault="00660823" w:rsidP="00660823">
            <w:pPr>
              <w:jc w:val="both"/>
              <w:rPr>
                <w:rFonts w:ascii="Book Antiqua" w:hAnsi="Book Antiqua"/>
              </w:rPr>
            </w:pPr>
            <w:r w:rsidRPr="00660823">
              <w:rPr>
                <w:rFonts w:ascii="Book Antiqua" w:hAnsi="Book Antiqua"/>
              </w:rPr>
              <w:t xml:space="preserve">Preambula e mbështet projektligjin në autoritetin legjislativ të Kuvendit të Republikës së Kosovës sipas nenit 65(1) të Kushtetutës. Ajo i referohet qëllimit themelor të Amendamentit Kushtetues nr. 24 dhe </w:t>
            </w:r>
            <w:r w:rsidRPr="00660823">
              <w:rPr>
                <w:rFonts w:ascii="Book Antiqua" w:hAnsi="Book Antiqua"/>
              </w:rPr>
              <w:lastRenderedPageBreak/>
              <w:t>Shkëmbimit të Letrave të datës 14 prill 2014, të ratifikuar me Ligjin nr. 04/L-274, si dhe i referohet Raportit të Asamblesë Parlamentare të Këshillit të Evropës (APKE) Dok. 12462, Aktgjykimit të Gjykatës Kushtetuese KO26/15 dhe Vendimit të Dhomës së Specializuar KSC-CC-2022-15.</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 përcakton qëllimin dhe fushëveprimin e ligjit, duke ngushtuar shprehimisht mandatin gjyqësor të Dhomave të Specializuara (Gjykata Speciale) dhe Zyrës së Prokurorit të Specializuar (ZPS) vetëm në veprat penale specifike të përcaktuara në Raportin e Asamblesë Parlamentare të Këshillit të Evropës, Dok. 12462, të datës 7 janar 2011. Neni synon të parandalojë degradimin institucional të Gjykatës Speciale në një gjykatë të jashtëzakonshme kundërkushtetuese sipas nenit 103(7) të Kushtetutës, riafirmon epërsinë institucionale të gjykatave të rregullta vendore mbi krimet e përgjithshme të luftës dhe krimet kundër njerëzimit, si dhe krijon një mekanizëm ligjor për transferimin e detyrueshëm të procedurave jashtë kompetencës së Gjykatës Speciale, dosjeve të lëndëve, provave dhe personave të ndaluar te sistemi i rregullt gjyqësor i Kosovës.</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 ndryshon nenin 6 të Ligjit nr. 05/L-</w:t>
            </w:r>
            <w:r w:rsidRPr="00660823">
              <w:rPr>
                <w:rFonts w:ascii="Book Antiqua" w:hAnsi="Book Antiqua"/>
              </w:rPr>
              <w:lastRenderedPageBreak/>
              <w:t>053 duke e kufizuar juridiksionin lëndor (ratione materiae) të Gjykatës Speciale dhe ZPS-së. Sipas tekstit të ndryshuar, juridiksioni kufizohet ekskluzivisht dhe drejtpërdrejt në nxjerrjen, heqjen dhe trafikimin e paligjshëm të organeve, indeve ose qelizave njerëzore të pretenduara shprehimisht në Raportin e Asamblesë Parlamentare të Këshillit të Evropës, Dok. 12462, të datës 7 janar 2011, ose në vrasjet e paligjshme, torturën dhe trajtimin mizor e çnjerëzor të kryer në vende specifike ndalimi të emërtuara shprehimisht në atë raport, me kusht që këto veprime të jenë kryer në funksion të drejtpërdrejtë të operacioneve të marrjes së organeve. Paragrafi 1A i ri heq shprehimisht juridiksionin lëndor të Gjykatës Speciale dhe ZPS-së mbi krimet e përgjithshme të luftës, krimet kundër njerëzimit ose dhunën politike që nuk kanë lidhje të drejtpërdrejtë përbërëse me trafikimin e organeve, duke specifikuar se konteksti më i gjerë i konfliktit të armatosur apo pretendimet e përgjithësuara për krimin e organizuar të përmendura në Dok. 12462 nuk krijojnë juridiksion.</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3 zëvendëson nenin 7 të ligjit bazë për të kufizuar juridiksionin kohor (ratione temporis). Në vend që të mbulojë tërë kohëzgjatjen e konfliktit të armatosur nga </w:t>
            </w:r>
            <w:r w:rsidRPr="00660823">
              <w:rPr>
                <w:rFonts w:ascii="Book Antiqua" w:hAnsi="Book Antiqua"/>
              </w:rPr>
              <w:lastRenderedPageBreak/>
              <w:t>fillimi i vitit 1998, juridiksioni kufizohet rreptësisht vetëm mbi veprat penale që plotësojnë kriteret e nenit 6(1) dhe që kanë ndodhur ndërmjet 1 korrikut 1999 dhe 31 dhjetorit 2000.</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4 ndryshon nenin 8 lidhur me juridiksionin territorial, duke e kufizuar atë në veprat kualifikuese të filluara ose të kryera brenda territorit të Kosovës. Ai e kufizon ushtrimin e juridiksionit jashtëterritorial vetëm në rastet kur ekziston juridiksioni personal dhe kur veprimi plotëson kriterin e një lidhje të drejtpërdrejtë dhe konkrete me pretendimet specifike të Raportit Dok. 12462, duke ndaluar çdo zgjerim të juridiksionit ndaj ngjarjeve të tjera faktike.</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5 plotëson nenin 9 duke shtuar paragrafin 3, i cili përcakton se juridiksioni personal mund të ushtrohet vetëm për veprat që plotësojnë njëkohësisht kriteret e juridiksionit lëndor, kohor dhe lidhjen konkrete me raportin, të përcaktuara në nenet 6 dhe 7.</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6 plotëson nenin 10 me paragrafët e rinj 4 deri në 7, duke krijuar një mekanizëm të përshpejtuar procedural për verifikimin e juridiksionit dhe transferimin e detyrueshëm </w:t>
            </w:r>
            <w:r w:rsidRPr="00660823">
              <w:rPr>
                <w:rFonts w:ascii="Book Antiqua" w:hAnsi="Book Antiqua"/>
              </w:rPr>
              <w:lastRenderedPageBreak/>
              <w:t xml:space="preserve">të lëndëve. Gjyqtarët ose panelet në çdo fazë procedurale janë të detyruar, sipas detyrës zyrtare (ex officio) ose me kërkesë të palëve, të përcaktojnë brenda pesëmbëdhjetë ditëve (ose tridhjetë ditëve kur mbahet seancë gojore) nëse akuzat bien brenda kritereve të nenit 6(1). Nëse akuzat nuk i plotësojnë këto kërkesa, gjykata duhet të shpallë menjëherë mungesën e kompetencës dhe të urdhërojë pushimin e procedurës. Palëve u garantohet e drejta e ankesës së drejtpërdrejtë në Gjykatën Supreme të Republikës së Kosovës në Prishtinë, e cila duhet të nxjerrë vendim përfundimtar brenda pesëmbëdhjetë ditëve. Gjykimet e pushuara dhe aktakuzat e konfirmuara transferohen menjëherë në Departamentin Special të Gjykatës Themelore, Gjykatës së Apelit ose Gjykatës Supreme në Prishtinë, ndërsa hetimet dhe dosjet paraprake transferohen në Prokurorinë Speciale të Republikës së Kosovës (PSRK). Sekretari i Gjykatës Speciale është i detyruar që brenda tridhjetë ditëve të transferojë dosjet origjinale të certifikuara dhe të përcjellë urdhrat dhe të dhënat e mbrojtjes së dëshmitarëve tek autoritetet vendore. Vendimet e paraburgimit mbeten përkohësisht të vlefshme deri në tridhjetë ditë pas transferimit fizik, periudhë brenda së cilës gjykatat vendore duhet të caktojnë një seancë sipas Kodit të Procedurës Penale </w:t>
            </w:r>
            <w:r w:rsidRPr="00660823">
              <w:rPr>
                <w:rFonts w:ascii="Book Antiqua" w:hAnsi="Book Antiqua"/>
              </w:rPr>
              <w:lastRenderedPageBreak/>
              <w:t>të Kosovës për të vendosur mbi vazhdimin, ndryshimin ose shuarjen e paraburgimit.</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7 shton nenin 10A, i cili rregullon modalitetet administrative dhe procedurale të transferimit të lëndëve dhe materialeve pas pushimit të procedurave për shkak të mungesës së juridiksionit. Çështjet në gjykim i drejtohen Departamentit Special të gjykatave në Prishtinë dhe dosjet e hetimeve PSRK-së, ku autoritetet vendore pranuese vendosin në mënyrë të pavarur mbi statusin procedural, përgjegjësinë penale dhe pranueshmërinë e provave sipas ligjit të Kosovës. Zyrës Administrative të Gjykatës Speciale i jepet një afat prej tridhjetë ditësh për të dorëzuar dosjen e plotë të certifikuar, ndërsa masat mbrojtëse dhe kushtet e vendosura nga ofruesit e jashtëm të informacionit duhet të vazhdojnë të respektohen.</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8 shton nenin 10B për të rregulluar transferimin fizik të personave të privuar nga liria në Kosovë, në koordinim me shtetin pritës. Personi i ndaluar duhet të dërgohet para një gjyqtari kompetent vendor të Kosovës jo më vonë se dyzet e tetë orë nga mbërritja fizike për të vlerësuar në mënyrë të pavarur masën e sigurisë sipas ligjit vendor, ndërsa i gjithë procesi i transferimit fizik </w:t>
            </w:r>
            <w:r w:rsidRPr="00660823">
              <w:rPr>
                <w:rFonts w:ascii="Book Antiqua" w:hAnsi="Book Antiqua"/>
              </w:rPr>
              <w:lastRenderedPageBreak/>
              <w:t>synohet të përfundojë brenda pesëmbëdhjetë ditëve nga vendimi për transferim. Dispozita garanton të drejtat për mbrojtje, integritetin shëndetësor, ekzaminimin mjekësor të pavarur dhe llogaritjen e plotë ligjore të kohës së kaluar në paraburgim në kuadër të Gjykatës Speciale.</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9 shton nenin 10C, duke përcaktuar se masat e mbrojtjes për dëshmitarët, viktimat dhe personat e tjerë të mbrojtur mbeten të zbatueshme pas transferimit deri në zëvendësimin ose ndryshimin e tyre nga autoriteti kompetent i Kosovës. Autoritetet vendore ngarkohen të zbatojnë masat me nivel të barasvlershëm sigurie dhe konfidencialiteti, duke vazhduar të respektojnë detyrimet ndaj ofruesve të informacionit.</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10 shton nenin 10D, duke zbatuar menjëherë këto kufizime juridiksionale ndaj të gjitha hetimeve, aktakuzave të konfirmuara, gjykimeve dhe procedurave ankimore në zhvillim. Trupat gjykues dhe panelet duhet të kryejnë një rishqyrtim të juridiksionit për çdo çështje brenda tridhjetë ditëve nga hyrja në fuqi e ligjit. Kur aktakuzat përmbajnë akuza të përziera, procedura ndahet dhe transferohet vetëm pjesa që bie jashtë juridiksionit, ndërsa çdo </w:t>
            </w:r>
            <w:r w:rsidRPr="00660823">
              <w:rPr>
                <w:rFonts w:ascii="Book Antiqua" w:hAnsi="Book Antiqua"/>
              </w:rPr>
              <w:lastRenderedPageBreak/>
              <w:t>vendim jo i formës së prerë që trajton akuza jashtë juridiksionit të rishikuar anulohet në atë pjesë.</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11 shton nenin 10E për të siguruar vazhdimësinë procedurale pas transferimit, duke përcaktuar se procedurat vendore zhvillohen duke garantuar gjykim të drejtë dhe të paanshëm brenda një afati të arsyeshëm. Provat e mbledhura nga Gjykata Speciale vlerësohen sipas rregullave të ligjshmërisë dhe pranueshmërisë të parashikuara me legjislacionin e Kosovës, dhe autoritetet e Kosovës autorizohen të kërkojnë informacione dhe materiale shtesë nga Gjykata Speciale ose ZPS-ja.</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12 ndryshon nenin 11, duke krijuar detyrimin për gjykatat dhe prokuroritë e rregullta të Kosovës për të njoftuar Gjykatën Speciale dhe ZPS-në për çdo rast vendor që mund të plotësojë kriteret e rishikuara të juridiksionit, duke ruajtur kompetencën e organit gjyqësor të Gjykatës Speciale për të zgjidhur mosmarrëveshjet e juridiksionit me vendim të arsyetuar.</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13 ndryshon nenin 24(2) për të harmonizuar mandatin e pavarur hetimor dhe ndjekës të ZPS-së me kriteret e rishikuara të juridiksionit të përcaktuara në </w:t>
            </w:r>
            <w:r w:rsidRPr="00660823">
              <w:rPr>
                <w:rFonts w:ascii="Book Antiqua" w:hAnsi="Book Antiqua"/>
              </w:rPr>
              <w:lastRenderedPageBreak/>
              <w:t>nenet 6 deri në 9 të ligjit.</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14 shton nenin 11A, i cili detyron gjykatën të bëjë një përcaktim të veçantë dhe të individualizuar të juridiksionit për çdo të akuzuar dhe për çdo pikë të aktakuzës. Vendimi për juridiksionin duhet të përmbajë një arsyetim të ndarë faktik dhe ligjor që vërteton lidhjen konkrete, të drejtpërdrejtë dhe të nevojshme me pretendimet dhe faktet specifike të identifikuara në Raportin Dok. 12462.</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15 ndryshon nenin 44(1), duke përcaktuar se dënimi maksimal që mund të shqiptohet nga Dhomat e Specializuara është pesëmbëdhjetë (15) vjet burgim. Ky kufizim zbatohet në përputhje me parimin e ligjit më të favorshëm (lex mitior), sipas të cilit ndaj personit të dënuar zbatohet ligji penal që është më i favorshëm për të.</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 xml:space="preserve">Neni 16 ndryshon nenin 50, duke përcaktuar se dënimet me burgim të shqiptuara nga Dhomat e Specializuara vuhet në institucionet korrektuese të Republikës së Kosovës. Institucioni konkret caktohet nga autoriteti kompetent i Republikës së Kosovës, në pajtim me legjislacionin vendor dhe duke marrë parasysh kohëzgjatjen e </w:t>
            </w:r>
            <w:r w:rsidRPr="00660823">
              <w:rPr>
                <w:rFonts w:ascii="Book Antiqua" w:hAnsi="Book Antiqua"/>
              </w:rPr>
              <w:lastRenderedPageBreak/>
              <w:t>dënimit, kërkesat e sigurisë dhe rrethanat individuale të personit të dënuar.</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17 ndryshon nenin 51, duke u njohur personave të dënuar me aktgjykim të formës së prerë nga Dhomat e Specializuara mundësinë që të jenë subjekt i faljes individuale nga Presidenti i Republikës së Kosovës. Për shqyrtimin dhe dhënien e faljes zbatohen kriteret, kushtet dhe procedurat e përcaktuara në Ligjin nr. 03/L-101 për Faljen.</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18 ndryshon nenin 54, duke kufizuar primatin e Gjykatës Speciale ndaj gjykatave dhe prokurorive vendore në çështjet që përmbushin kriteret e juridiksionit. Ai vendos një afat prej njëzet e një ditësh që trupat e Gjykatës Speciale të vendosin mbi çështjet e juridiksionit kur autoriteti vendor e kundërshton kërkesën për transferim, duke ruajtur njëkohësisht format e ndihmës dhe bashkëpunimit të ndërsjellë juridik.</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19 ndryshon nenin 59 lidhur me shtetin pritës, duke përcaktuar se transferimet fizike të personave, provave dhe pasurisë nga Holanda duhet të realizohen në koordinim me autoritetet e shtetit pritës dhe sipas procedurave të marrëveshjeve ndërkombëtare të zbatueshme.</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20 ndryshon nenin 61 për menaxhimin, ruajtjen dhe transferimin e arkivave, duke urdhëruar dorëzimin e dosjes së certifikuar dhe materialeve të nevojshme tek autoritetet e Kosovës, duke ruajtur paprekshmërinë e arkivave dhe statusin e mbrojtjes të vendosur nga ofruesit e informacionit.</w:t>
            </w:r>
          </w:p>
          <w:p w:rsidR="00660823" w:rsidRPr="00660823" w:rsidRDefault="00660823" w:rsidP="00660823">
            <w:pPr>
              <w:jc w:val="both"/>
              <w:rPr>
                <w:rFonts w:ascii="Book Antiqua" w:hAnsi="Book Antiqua"/>
              </w:rPr>
            </w:pPr>
          </w:p>
          <w:p w:rsidR="00660823" w:rsidRDefault="00660823" w:rsidP="00660823">
            <w:pPr>
              <w:jc w:val="both"/>
              <w:rPr>
                <w:rFonts w:ascii="Book Antiqua" w:hAnsi="Book Antiqua"/>
              </w:rPr>
            </w:pPr>
            <w:r w:rsidRPr="00660823">
              <w:rPr>
                <w:rFonts w:ascii="Book Antiqua" w:hAnsi="Book Antiqua"/>
              </w:rPr>
              <w:t>Neni 21 ndryshon nenin 62, duke u garantuar autoriteteve gjyqësore vendore pranuese qasje në materialet e nevojshme për qëllimet e procedurave përkatëse të transferuara, me kusht ruajtjen e plotë të konfidencialitetit dhe sigurisë së dëshmitarëve.</w:t>
            </w:r>
          </w:p>
          <w:p w:rsidR="00E8779D" w:rsidRDefault="00E8779D" w:rsidP="00660823">
            <w:pPr>
              <w:jc w:val="both"/>
              <w:rPr>
                <w:rFonts w:ascii="Book Antiqua" w:hAnsi="Book Antiqua"/>
              </w:rPr>
            </w:pPr>
          </w:p>
          <w:p w:rsidR="00E8779D" w:rsidRPr="00660823" w:rsidRDefault="00E8779D" w:rsidP="00E8779D">
            <w:pPr>
              <w:jc w:val="both"/>
              <w:rPr>
                <w:rFonts w:ascii="Book Antiqua" w:hAnsi="Book Antiqua"/>
              </w:rPr>
            </w:pPr>
            <w:r w:rsidRPr="00E8779D">
              <w:rPr>
                <w:rFonts w:ascii="Book Antiqua" w:hAnsi="Book Antiqua"/>
              </w:rPr>
              <w:t xml:space="preserve">Neni </w:t>
            </w:r>
            <w:r>
              <w:rPr>
                <w:rFonts w:ascii="Book Antiqua" w:hAnsi="Book Antiqua"/>
              </w:rPr>
              <w:t>22</w:t>
            </w:r>
            <w:r w:rsidRPr="00E8779D">
              <w:rPr>
                <w:rFonts w:ascii="Book Antiqua" w:hAnsi="Book Antiqua"/>
              </w:rPr>
              <w:t xml:space="preserve"> shton nenin 63A, duke krijuar bazën ligjore që Kuvendi i Republikës së Kosovës të autorizojë organizata ndërkombëtare të specializuara për monitorimin dhe mbikëqyrjen institucionale të Dhomave të Specializuara dhe Zyrës së Prokurorit të Specializuar. Monitorimi synon vlerësimin e respektimit të Kushtetutës, ligjit, të drejtave të njeriut dhe standardeve ndërkombëtare të gjykimit të drejtë, pa ndërhyrë në pavarësinë gjyqësore dhe prokuroriale. Organizatat e autorizuara i raportojnë Kuvendit, ndërsa raportet e tyre kanë karakter vlerësues dhe rekomandues dhe nuk prodhojnë efekt </w:t>
            </w:r>
            <w:r w:rsidRPr="00E8779D">
              <w:rPr>
                <w:rFonts w:ascii="Book Antiqua" w:hAnsi="Book Antiqua"/>
              </w:rPr>
              <w:lastRenderedPageBreak/>
              <w:t>juridik mbi vendimet, urdhrat ose aktgjykimet e Dhomave të Specializuara.</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w:t>
            </w:r>
            <w:r w:rsidR="00E8779D">
              <w:rPr>
                <w:rFonts w:ascii="Book Antiqua" w:hAnsi="Book Antiqua"/>
              </w:rPr>
              <w:t>3</w:t>
            </w:r>
            <w:r w:rsidRPr="00660823">
              <w:rPr>
                <w:rFonts w:ascii="Book Antiqua" w:hAnsi="Book Antiqua"/>
              </w:rPr>
              <w:t xml:space="preserve"> rregullon kontrollin kushtetues duke kufizuar juridiksionin e Dhomës së Specializuar të Gjykatës Kushtetuese (DhSGjK) ekskluzivisht në referimet kushtetuese që burojnë nga zbatimi konkret i ligjit në raste individuale dhe nga aktet gjyqësore të Gjykatës Speciale dhe ZPS-së. DhSGjK-së i hiqet shprehimisht juridiksioni për kontrollin abstrakt, paraprak dhe incidental të kushtetutshmërisë së ligjeve që ndryshojnë, plotësojnë ose shfuqizojnë Ligjin nr. 05/L-053. Kontrolli abstrakt kushtetues i këtij ligji amendues dhe ligjeve të ngjashme i rezervohet ekskluzivisht Gjykatës Kushtetuese të Republikës së Kosovës në përbërjen e saj të rregullt, në pajtim me nenin 113 të Kushtetutës.</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w:t>
            </w:r>
            <w:r w:rsidR="00E8779D">
              <w:rPr>
                <w:rFonts w:ascii="Book Antiqua" w:hAnsi="Book Antiqua"/>
              </w:rPr>
              <w:t>4</w:t>
            </w:r>
            <w:r w:rsidRPr="00660823">
              <w:rPr>
                <w:rFonts w:ascii="Book Antiqua" w:hAnsi="Book Antiqua"/>
              </w:rPr>
              <w:t xml:space="preserve"> ngarkon organet kompetente të Gjykatës Speciale të harmonizojnë Rregulloren e Procedurës dhe Provave me ndryshimet e bëra me këtë ligj, duke ia nënshtruar ndryshimet e rregullores kontrollit të DhSGjK-së sipas nenit 162(6) të Kushtetutës.</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w:t>
            </w:r>
            <w:r w:rsidR="00E8779D">
              <w:rPr>
                <w:rFonts w:ascii="Book Antiqua" w:hAnsi="Book Antiqua"/>
              </w:rPr>
              <w:t>5</w:t>
            </w:r>
            <w:r w:rsidRPr="00660823">
              <w:rPr>
                <w:rFonts w:ascii="Book Antiqua" w:hAnsi="Book Antiqua"/>
              </w:rPr>
              <w:t xml:space="preserve"> urdhëron harmonizimin e menjëhershëm të akteve nënligjore dhe </w:t>
            </w:r>
            <w:r w:rsidRPr="00660823">
              <w:rPr>
                <w:rFonts w:ascii="Book Antiqua" w:hAnsi="Book Antiqua"/>
              </w:rPr>
              <w:lastRenderedPageBreak/>
              <w:t>akteve të tjera normative me këtë ligj me të hyrë ai në fuqi.</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r w:rsidRPr="00660823">
              <w:rPr>
                <w:rFonts w:ascii="Book Antiqua" w:hAnsi="Book Antiqua"/>
              </w:rPr>
              <w:t>Neni 2</w:t>
            </w:r>
            <w:r w:rsidR="00E8779D">
              <w:rPr>
                <w:rFonts w:ascii="Book Antiqua" w:hAnsi="Book Antiqua"/>
              </w:rPr>
              <w:t>6</w:t>
            </w:r>
            <w:r w:rsidRPr="00660823">
              <w:rPr>
                <w:rFonts w:ascii="Book Antiqua" w:hAnsi="Book Antiqua"/>
              </w:rPr>
              <w:t xml:space="preserve"> përcakton regjimin kalimtar për rastet që janë në zhvillim para Dhomave të Specializuara në datën e hyrjes në fuqi të këtij ligji. Këto raste vazhdojnë të shqyrtohen sipas dispozitave të mëparshme të Ligjit nr. 05/L-053 deri në nxjerrjen e aktgjykimit nga Paneli i Gjykatës së Apelit.</w:t>
            </w:r>
          </w:p>
          <w:p w:rsidR="00660823" w:rsidRPr="00660823" w:rsidRDefault="00660823" w:rsidP="00660823">
            <w:pPr>
              <w:jc w:val="both"/>
              <w:rPr>
                <w:rFonts w:ascii="Book Antiqua" w:hAnsi="Book Antiqua"/>
              </w:rPr>
            </w:pPr>
            <w:r w:rsidRPr="00660823">
              <w:rPr>
                <w:rFonts w:ascii="Book Antiqua" w:hAnsi="Book Antiqua"/>
              </w:rPr>
              <w:t>Pas nxjerrjes së aktgjykimit nga Paneli i Gjykatës së Apelit, për çdo procedurë të mëtejshme zbatohen dispozitat e ligjit të ri. Juridiksioni ekskluziv për shqyrtimin e ankesave, kërkesave për mbrojtjen e ligjshmërisë dhe mjeteve të tjera juridike kundër aktgjykimit i kalon Gjykatës Supreme të Republikës së Kosovës në Prishtinë, ndërsa Paneli i Gjykatës Supreme i Dhomave të Specializuara nuk ka juridiksion mbi këto raste.</w:t>
            </w:r>
          </w:p>
          <w:p w:rsidR="00660823" w:rsidRPr="00660823" w:rsidRDefault="00660823" w:rsidP="00660823">
            <w:pPr>
              <w:jc w:val="both"/>
              <w:rPr>
                <w:rFonts w:ascii="Book Antiqua" w:hAnsi="Book Antiqua"/>
              </w:rPr>
            </w:pPr>
          </w:p>
          <w:p w:rsidR="00660823" w:rsidRPr="00660823" w:rsidRDefault="00660823" w:rsidP="00660823">
            <w:pPr>
              <w:jc w:val="both"/>
              <w:rPr>
                <w:rFonts w:ascii="Book Antiqua" w:hAnsi="Book Antiqua"/>
              </w:rPr>
            </w:pPr>
          </w:p>
          <w:p w:rsidR="00660823" w:rsidRDefault="00660823" w:rsidP="00660823">
            <w:pPr>
              <w:jc w:val="both"/>
              <w:rPr>
                <w:rFonts w:ascii="Book Antiqua" w:hAnsi="Book Antiqua"/>
              </w:rPr>
            </w:pPr>
            <w:r w:rsidRPr="00660823">
              <w:rPr>
                <w:rFonts w:ascii="Book Antiqua" w:hAnsi="Book Antiqua"/>
              </w:rPr>
              <w:t>Neni 2</w:t>
            </w:r>
            <w:r w:rsidR="00E8779D">
              <w:rPr>
                <w:rFonts w:ascii="Book Antiqua" w:hAnsi="Book Antiqua"/>
              </w:rPr>
              <w:t>7</w:t>
            </w:r>
            <w:r w:rsidRPr="00660823">
              <w:rPr>
                <w:rFonts w:ascii="Book Antiqua" w:hAnsi="Book Antiqua"/>
              </w:rPr>
              <w:t xml:space="preserve"> përcakton se ky ligj hyn në fuqi menjëherë në ditën e publikimit të tij në Gazetën Zyrtare të Republikës së Kosovës.</w:t>
            </w:r>
          </w:p>
          <w:p w:rsidR="00660823" w:rsidRDefault="00660823" w:rsidP="00660823">
            <w:pPr>
              <w:jc w:val="both"/>
              <w:rPr>
                <w:rFonts w:ascii="Book Antiqua" w:hAnsi="Book Antiqua"/>
              </w:rPr>
            </w:pPr>
          </w:p>
          <w:p w:rsidR="00660823" w:rsidRDefault="00660823" w:rsidP="00AA398A">
            <w:pPr>
              <w:jc w:val="both"/>
              <w:rPr>
                <w:rFonts w:ascii="Book Antiqua" w:hAnsi="Book Antiqua"/>
              </w:rPr>
            </w:pPr>
          </w:p>
          <w:p w:rsidR="00AA398A" w:rsidRPr="00C86720" w:rsidRDefault="00406E63" w:rsidP="00AA398A">
            <w:pPr>
              <w:jc w:val="both"/>
              <w:rPr>
                <w:rFonts w:ascii="Book Antiqua" w:hAnsi="Book Antiqua"/>
                <w:b/>
              </w:rPr>
            </w:pPr>
            <w:r w:rsidRPr="00C86720">
              <w:rPr>
                <w:rFonts w:ascii="Book Antiqua" w:hAnsi="Book Antiqua"/>
                <w:b/>
              </w:rPr>
              <w:t>6. Vlerësimi i Ndikimit Financiar i O</w:t>
            </w:r>
            <w:r w:rsidR="00AA398A" w:rsidRPr="00C86720">
              <w:rPr>
                <w:rFonts w:ascii="Book Antiqua" w:hAnsi="Book Antiqua"/>
                <w:b/>
              </w:rPr>
              <w:t xml:space="preserve">psionit të </w:t>
            </w:r>
            <w:r w:rsidRPr="00C86720">
              <w:rPr>
                <w:rFonts w:ascii="Book Antiqua" w:hAnsi="Book Antiqua"/>
                <w:b/>
              </w:rPr>
              <w:t>P</w:t>
            </w:r>
            <w:r w:rsidR="00AA398A" w:rsidRPr="00C86720">
              <w:rPr>
                <w:rFonts w:ascii="Book Antiqua" w:hAnsi="Book Antiqua"/>
                <w:b/>
              </w:rPr>
              <w:t>ropozuar</w:t>
            </w:r>
          </w:p>
          <w:p w:rsidR="00AA398A" w:rsidRPr="00C86720" w:rsidRDefault="00AA398A" w:rsidP="00AA398A">
            <w:pPr>
              <w:jc w:val="both"/>
              <w:rPr>
                <w:rFonts w:ascii="Book Antiqua" w:hAnsi="Book Antiqua"/>
              </w:rPr>
            </w:pPr>
          </w:p>
          <w:p w:rsidR="00610F9F" w:rsidRPr="00C86720" w:rsidRDefault="00610F9F" w:rsidP="00610F9F">
            <w:pPr>
              <w:jc w:val="both"/>
              <w:rPr>
                <w:rFonts w:ascii="Book Antiqua" w:hAnsi="Book Antiqua"/>
              </w:rPr>
            </w:pPr>
            <w:r w:rsidRPr="00C86720">
              <w:rPr>
                <w:rFonts w:ascii="Book Antiqua" w:hAnsi="Book Antiqua"/>
              </w:rPr>
              <w:lastRenderedPageBreak/>
              <w:t xml:space="preserve">Zbatimi i Ligjit </w:t>
            </w:r>
            <w:r w:rsidR="00660823">
              <w:rPr>
                <w:rFonts w:ascii="Book Antiqua" w:hAnsi="Book Antiqua"/>
              </w:rPr>
              <w:t>nuk</w:t>
            </w:r>
            <w:r w:rsidRPr="00C86720">
              <w:rPr>
                <w:rFonts w:ascii="Book Antiqua" w:hAnsi="Book Antiqua"/>
              </w:rPr>
              <w:t xml:space="preserve"> pritet të ketë ndikime financiare.  Detajet e kostos financiare janë të përcaktuara në Formularin për Vlerësimin e Ndikimit Financiar. </w:t>
            </w:r>
          </w:p>
          <w:p w:rsidR="00AA398A" w:rsidRPr="00C86720" w:rsidRDefault="00AA398A" w:rsidP="00AA398A">
            <w:pPr>
              <w:jc w:val="both"/>
              <w:rPr>
                <w:rFonts w:ascii="Book Antiqua" w:hAnsi="Book Antiqua"/>
              </w:rPr>
            </w:pPr>
          </w:p>
          <w:p w:rsidR="00AA398A" w:rsidRPr="00C86720" w:rsidRDefault="00AA398A" w:rsidP="00AA398A">
            <w:pPr>
              <w:jc w:val="both"/>
              <w:rPr>
                <w:rFonts w:ascii="Book Antiqua" w:hAnsi="Book Antiqua"/>
              </w:rPr>
            </w:pPr>
          </w:p>
          <w:p w:rsidR="00AA398A" w:rsidRPr="00C86720" w:rsidRDefault="00612A23" w:rsidP="00AA398A">
            <w:pPr>
              <w:jc w:val="both"/>
              <w:rPr>
                <w:rFonts w:ascii="Book Antiqua" w:hAnsi="Book Antiqua"/>
                <w:b/>
              </w:rPr>
            </w:pPr>
            <w:r w:rsidRPr="00C86720">
              <w:rPr>
                <w:rFonts w:ascii="Book Antiqua" w:hAnsi="Book Antiqua"/>
                <w:b/>
              </w:rPr>
              <w:t xml:space="preserve">7. </w:t>
            </w:r>
            <w:r w:rsidR="00AA398A" w:rsidRPr="00C86720">
              <w:rPr>
                <w:rFonts w:ascii="Book Antiqua" w:hAnsi="Book Antiqua"/>
                <w:b/>
              </w:rPr>
              <w:t>Konsultimi (kush është konsultuar dhe përmbledhje të shkurtra të përgjigjeve)</w:t>
            </w:r>
          </w:p>
          <w:p w:rsidR="00AA398A" w:rsidRPr="00C86720" w:rsidRDefault="00AA398A" w:rsidP="00AA398A">
            <w:pPr>
              <w:jc w:val="both"/>
              <w:rPr>
                <w:rFonts w:ascii="Book Antiqua" w:hAnsi="Book Antiqua"/>
                <w:b/>
              </w:rPr>
            </w:pPr>
          </w:p>
          <w:p w:rsidR="00AA398A" w:rsidRPr="00C86720" w:rsidRDefault="00AA398A" w:rsidP="00AA398A">
            <w:pPr>
              <w:jc w:val="both"/>
              <w:rPr>
                <w:rFonts w:ascii="Book Antiqua" w:hAnsi="Book Antiqua"/>
              </w:rPr>
            </w:pPr>
          </w:p>
          <w:p w:rsidR="00016009" w:rsidRPr="00C86720" w:rsidRDefault="00016009" w:rsidP="00AA398A">
            <w:pPr>
              <w:jc w:val="both"/>
              <w:rPr>
                <w:rFonts w:ascii="Book Antiqua" w:hAnsi="Book Antiqua"/>
              </w:rPr>
            </w:pPr>
          </w:p>
          <w:p w:rsidR="00AA398A" w:rsidRPr="00C86720" w:rsidRDefault="00406E63" w:rsidP="00AA398A">
            <w:pPr>
              <w:jc w:val="both"/>
              <w:rPr>
                <w:rFonts w:ascii="Book Antiqua" w:hAnsi="Book Antiqua"/>
                <w:b/>
              </w:rPr>
            </w:pPr>
            <w:r w:rsidRPr="00C86720">
              <w:rPr>
                <w:rFonts w:ascii="Book Antiqua" w:hAnsi="Book Antiqua"/>
                <w:b/>
              </w:rPr>
              <w:t>8. Mënyra e Komunikimit të P</w:t>
            </w:r>
            <w:r w:rsidR="00AA398A" w:rsidRPr="00C86720">
              <w:rPr>
                <w:rFonts w:ascii="Book Antiqua" w:hAnsi="Book Antiqua"/>
                <w:b/>
              </w:rPr>
              <w:t xml:space="preserve">olitikës së re për </w:t>
            </w:r>
            <w:r w:rsidRPr="00C86720">
              <w:rPr>
                <w:rFonts w:ascii="Book Antiqua" w:hAnsi="Book Antiqua"/>
                <w:b/>
              </w:rPr>
              <w:t>P</w:t>
            </w:r>
            <w:r w:rsidR="00AA398A" w:rsidRPr="00C86720">
              <w:rPr>
                <w:rFonts w:ascii="Book Antiqua" w:hAnsi="Book Antiqua"/>
                <w:b/>
              </w:rPr>
              <w:t>ublikun</w:t>
            </w:r>
          </w:p>
          <w:p w:rsidR="00AA398A" w:rsidRPr="00C86720" w:rsidRDefault="00AA398A" w:rsidP="00AA398A">
            <w:pPr>
              <w:jc w:val="both"/>
              <w:rPr>
                <w:rFonts w:ascii="Book Antiqua" w:hAnsi="Book Antiqua"/>
                <w:b/>
              </w:rPr>
            </w:pPr>
          </w:p>
          <w:p w:rsidR="00741AEA" w:rsidRPr="00C86720" w:rsidRDefault="00741AEA" w:rsidP="00DE5ECD">
            <w:pPr>
              <w:jc w:val="both"/>
              <w:rPr>
                <w:rFonts w:ascii="Book Antiqua" w:hAnsi="Book Antiqua"/>
              </w:rPr>
            </w:pPr>
          </w:p>
        </w:tc>
        <w:tc>
          <w:tcPr>
            <w:tcW w:w="4770" w:type="dxa"/>
          </w:tcPr>
          <w:p w:rsidR="005C0C89" w:rsidRPr="00C86720" w:rsidRDefault="005C0C89" w:rsidP="00EB466E">
            <w:pPr>
              <w:jc w:val="both"/>
              <w:rPr>
                <w:rFonts w:ascii="Book Antiqua" w:hAnsi="Book Antiqua"/>
              </w:rPr>
            </w:pPr>
          </w:p>
          <w:p w:rsidR="00926FAD" w:rsidRPr="00C86720" w:rsidRDefault="00926FAD" w:rsidP="00926FAD">
            <w:pPr>
              <w:jc w:val="both"/>
              <w:rPr>
                <w:rFonts w:ascii="Book Antiqua" w:hAnsi="Book Antiqua"/>
                <w:b/>
              </w:rPr>
            </w:pPr>
          </w:p>
          <w:p w:rsidR="00926FAD" w:rsidRPr="00C86720" w:rsidRDefault="00926FAD" w:rsidP="00926FAD">
            <w:pPr>
              <w:rPr>
                <w:rFonts w:ascii="Book Antiqua" w:hAnsi="Book Antiqua"/>
                <w:b/>
              </w:rPr>
            </w:pPr>
          </w:p>
          <w:p w:rsidR="00EC1BC3" w:rsidRPr="00C86720" w:rsidRDefault="00EC1BC3" w:rsidP="00EC1BC3">
            <w:pPr>
              <w:rPr>
                <w:rFonts w:ascii="Book Antiqua" w:hAnsi="Book Antiqua"/>
                <w:b/>
              </w:rPr>
            </w:pPr>
          </w:p>
          <w:p w:rsidR="00EC1BC3" w:rsidRPr="00C86720" w:rsidRDefault="00EC1BC3" w:rsidP="00EC1BC3">
            <w:pPr>
              <w:rPr>
                <w:rFonts w:ascii="Book Antiqua" w:hAnsi="Book Antiqua"/>
                <w:b/>
              </w:rPr>
            </w:pPr>
          </w:p>
          <w:p w:rsidR="00016009" w:rsidRPr="00C86720" w:rsidRDefault="00016009" w:rsidP="00EC1BC3">
            <w:pPr>
              <w:rPr>
                <w:rFonts w:ascii="Book Antiqua" w:hAnsi="Book Antiqua"/>
                <w:b/>
              </w:rPr>
            </w:pPr>
          </w:p>
          <w:p w:rsidR="00EC1BC3" w:rsidRPr="00C86720" w:rsidRDefault="00EC1BC3" w:rsidP="00EC1BC3">
            <w:pPr>
              <w:rPr>
                <w:rFonts w:ascii="Book Antiqua" w:hAnsi="Book Antiqua"/>
                <w:b/>
              </w:rPr>
            </w:pPr>
          </w:p>
          <w:p w:rsidR="00EC1BC3" w:rsidRPr="00C86720" w:rsidRDefault="00EC1BC3" w:rsidP="007C099A">
            <w:pPr>
              <w:jc w:val="both"/>
              <w:rPr>
                <w:rFonts w:ascii="Book Antiqua" w:hAnsi="Book Antiqua"/>
              </w:rPr>
            </w:pPr>
          </w:p>
        </w:tc>
        <w:tc>
          <w:tcPr>
            <w:tcW w:w="4950" w:type="dxa"/>
          </w:tcPr>
          <w:p w:rsidR="00D17288" w:rsidRPr="00C86720" w:rsidRDefault="00D17288" w:rsidP="00D17288">
            <w:pPr>
              <w:jc w:val="both"/>
              <w:rPr>
                <w:rFonts w:ascii="Book Antiqua" w:hAnsi="Book Antiqua"/>
                <w:b/>
              </w:rPr>
            </w:pPr>
          </w:p>
          <w:p w:rsidR="002F5841" w:rsidRPr="00C86720" w:rsidRDefault="002F5841" w:rsidP="006D4D4E">
            <w:pPr>
              <w:jc w:val="both"/>
              <w:rPr>
                <w:rFonts w:ascii="Book Antiqua" w:hAnsi="Book Antiqua"/>
              </w:rPr>
            </w:pPr>
          </w:p>
        </w:tc>
      </w:tr>
    </w:tbl>
    <w:p w:rsidR="00FA4C11" w:rsidRPr="00C86720" w:rsidRDefault="00FA4C11" w:rsidP="00016009">
      <w:pPr>
        <w:autoSpaceDE w:val="0"/>
        <w:autoSpaceDN w:val="0"/>
        <w:adjustRightInd w:val="0"/>
        <w:spacing w:line="276" w:lineRule="auto"/>
        <w:rPr>
          <w:rFonts w:ascii="TimesNewRoman" w:hAnsi="TimesNewRoman"/>
          <w:i/>
          <w:iCs/>
        </w:rPr>
      </w:pPr>
    </w:p>
    <w:p w:rsidR="00FA4C11" w:rsidRPr="00C86720" w:rsidRDefault="00FA4C11" w:rsidP="00FA4C11">
      <w:pPr>
        <w:jc w:val="center"/>
        <w:rPr>
          <w:b/>
          <w:bCs/>
          <w:smallCaps/>
        </w:rPr>
      </w:pPr>
    </w:p>
    <w:sectPr w:rsidR="00FA4C11" w:rsidRPr="00C86720" w:rsidSect="002F5841">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1E8F" w:rsidRDefault="00E91E8F" w:rsidP="002F5841">
      <w:r>
        <w:separator/>
      </w:r>
    </w:p>
  </w:endnote>
  <w:endnote w:type="continuationSeparator" w:id="1">
    <w:p w:rsidR="00E91E8F" w:rsidRDefault="00E91E8F" w:rsidP="002F58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imesNewRoman">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60" w:rsidRPr="002F5841" w:rsidRDefault="00BD7175">
    <w:pPr>
      <w:pStyle w:val="Footer"/>
      <w:jc w:val="center"/>
    </w:pPr>
    <w:r w:rsidRPr="002F5841">
      <w:rPr>
        <w:bCs/>
      </w:rPr>
      <w:fldChar w:fldCharType="begin"/>
    </w:r>
    <w:r w:rsidR="004C5060" w:rsidRPr="002F5841">
      <w:rPr>
        <w:bCs/>
      </w:rPr>
      <w:instrText xml:space="preserve"> PAGE </w:instrText>
    </w:r>
    <w:r w:rsidRPr="002F5841">
      <w:rPr>
        <w:bCs/>
      </w:rPr>
      <w:fldChar w:fldCharType="separate"/>
    </w:r>
    <w:r w:rsidR="00714F0E">
      <w:rPr>
        <w:bCs/>
        <w:noProof/>
      </w:rPr>
      <w:t>4</w:t>
    </w:r>
    <w:r w:rsidRPr="002F5841">
      <w:rPr>
        <w:bCs/>
      </w:rPr>
      <w:fldChar w:fldCharType="end"/>
    </w:r>
    <w:r w:rsidR="004C5060" w:rsidRPr="002F5841">
      <w:t xml:space="preserve"> / </w:t>
    </w:r>
    <w:r w:rsidRPr="002F5841">
      <w:rPr>
        <w:bCs/>
      </w:rPr>
      <w:fldChar w:fldCharType="begin"/>
    </w:r>
    <w:r w:rsidR="004C5060" w:rsidRPr="002F5841">
      <w:rPr>
        <w:bCs/>
      </w:rPr>
      <w:instrText xml:space="preserve"> NUMPAGES  </w:instrText>
    </w:r>
    <w:r w:rsidRPr="002F5841">
      <w:rPr>
        <w:bCs/>
      </w:rPr>
      <w:fldChar w:fldCharType="separate"/>
    </w:r>
    <w:r w:rsidR="00714F0E">
      <w:rPr>
        <w:bCs/>
        <w:noProof/>
      </w:rPr>
      <w:t>28</w:t>
    </w:r>
    <w:r w:rsidRPr="002F5841">
      <w:rPr>
        <w:bCs/>
      </w:rPr>
      <w:fldChar w:fldCharType="end"/>
    </w:r>
  </w:p>
  <w:p w:rsidR="004C5060" w:rsidRDefault="004C50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1E8F" w:rsidRDefault="00E91E8F" w:rsidP="002F5841">
      <w:r>
        <w:separator/>
      </w:r>
    </w:p>
  </w:footnote>
  <w:footnote w:type="continuationSeparator" w:id="1">
    <w:p w:rsidR="00E91E8F" w:rsidRDefault="00E91E8F" w:rsidP="002F58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77C53"/>
    <w:multiLevelType w:val="hybridMultilevel"/>
    <w:tmpl w:val="908CF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433ECF"/>
    <w:multiLevelType w:val="hybridMultilevel"/>
    <w:tmpl w:val="544EBA06"/>
    <w:lvl w:ilvl="0" w:tplc="FF842EE4">
      <w:start w:val="2"/>
      <w:numFmt w:val="bullet"/>
      <w:lvlText w:val="-"/>
      <w:lvlJc w:val="left"/>
      <w:pPr>
        <w:ind w:left="720" w:hanging="360"/>
      </w:pPr>
      <w:rPr>
        <w:rFonts w:ascii="Times New Roman" w:eastAsia="Times New Roman"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413D01D0"/>
    <w:multiLevelType w:val="hybridMultilevel"/>
    <w:tmpl w:val="8570BBC2"/>
    <w:lvl w:ilvl="0" w:tplc="D1CAD834">
      <w:numFmt w:val="bullet"/>
      <w:lvlText w:val="-"/>
      <w:lvlJc w:val="left"/>
      <w:pPr>
        <w:ind w:left="720" w:hanging="360"/>
      </w:pPr>
      <w:rPr>
        <w:rFonts w:ascii="Times New Roman" w:eastAsiaTheme="minorHAnsi" w:hAnsi="Times New Roman" w:cs="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D507FA"/>
    <w:multiLevelType w:val="hybridMultilevel"/>
    <w:tmpl w:val="7A2C7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357AA6"/>
    <w:multiLevelType w:val="hybridMultilevel"/>
    <w:tmpl w:val="313C196E"/>
    <w:lvl w:ilvl="0" w:tplc="4FDE8A54">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BC6913"/>
    <w:multiLevelType w:val="hybridMultilevel"/>
    <w:tmpl w:val="21BA6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196E7F"/>
    <w:multiLevelType w:val="hybridMultilevel"/>
    <w:tmpl w:val="2D2A081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304F49"/>
    <w:multiLevelType w:val="hybridMultilevel"/>
    <w:tmpl w:val="C1DEF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A3F03D7"/>
    <w:multiLevelType w:val="hybridMultilevel"/>
    <w:tmpl w:val="DD662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2B4961"/>
    <w:multiLevelType w:val="hybridMultilevel"/>
    <w:tmpl w:val="9E0828B0"/>
    <w:lvl w:ilvl="0" w:tplc="5D8C3BD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8"/>
  </w:num>
  <w:num w:numId="5">
    <w:abstractNumId w:val="6"/>
  </w:num>
  <w:num w:numId="6">
    <w:abstractNumId w:val="2"/>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9"/>
  </w:num>
  <w:num w:numId="11">
    <w:abstractNumId w:val="5"/>
  </w:num>
  <w:num w:numId="12">
    <w:abstractNumId w:val="0"/>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defaultTabStop w:val="720"/>
  <w:characterSpacingControl w:val="doNotCompress"/>
  <w:footnotePr>
    <w:footnote w:id="0"/>
    <w:footnote w:id="1"/>
  </w:footnotePr>
  <w:endnotePr>
    <w:endnote w:id="0"/>
    <w:endnote w:id="1"/>
  </w:endnotePr>
  <w:compat/>
  <w:rsids>
    <w:rsidRoot w:val="006A2652"/>
    <w:rsid w:val="00000330"/>
    <w:rsid w:val="0000061D"/>
    <w:rsid w:val="0000743B"/>
    <w:rsid w:val="00007574"/>
    <w:rsid w:val="000075EF"/>
    <w:rsid w:val="00007B27"/>
    <w:rsid w:val="0001375E"/>
    <w:rsid w:val="00016009"/>
    <w:rsid w:val="00016851"/>
    <w:rsid w:val="0002666F"/>
    <w:rsid w:val="00031A67"/>
    <w:rsid w:val="000367D6"/>
    <w:rsid w:val="00050B4D"/>
    <w:rsid w:val="00073142"/>
    <w:rsid w:val="000869AF"/>
    <w:rsid w:val="000A09E8"/>
    <w:rsid w:val="000A247E"/>
    <w:rsid w:val="000B0440"/>
    <w:rsid w:val="000B7DB0"/>
    <w:rsid w:val="000D550D"/>
    <w:rsid w:val="000E68B4"/>
    <w:rsid w:val="000F4970"/>
    <w:rsid w:val="000F7518"/>
    <w:rsid w:val="001072BE"/>
    <w:rsid w:val="001107FD"/>
    <w:rsid w:val="00117C12"/>
    <w:rsid w:val="0012254A"/>
    <w:rsid w:val="00124D5E"/>
    <w:rsid w:val="00125C12"/>
    <w:rsid w:val="0014119B"/>
    <w:rsid w:val="0014714C"/>
    <w:rsid w:val="00157F82"/>
    <w:rsid w:val="0016144A"/>
    <w:rsid w:val="00183C6D"/>
    <w:rsid w:val="00193C92"/>
    <w:rsid w:val="00194255"/>
    <w:rsid w:val="001953C0"/>
    <w:rsid w:val="001B4DF6"/>
    <w:rsid w:val="001C02B1"/>
    <w:rsid w:val="001D04EF"/>
    <w:rsid w:val="001D4DAC"/>
    <w:rsid w:val="001D6945"/>
    <w:rsid w:val="001E0D70"/>
    <w:rsid w:val="001E54DE"/>
    <w:rsid w:val="00200B2E"/>
    <w:rsid w:val="00215C6B"/>
    <w:rsid w:val="0022057B"/>
    <w:rsid w:val="0024383F"/>
    <w:rsid w:val="00256FA2"/>
    <w:rsid w:val="00266E56"/>
    <w:rsid w:val="0028008A"/>
    <w:rsid w:val="00282B03"/>
    <w:rsid w:val="00287840"/>
    <w:rsid w:val="00290418"/>
    <w:rsid w:val="00297E4A"/>
    <w:rsid w:val="002A217C"/>
    <w:rsid w:val="002A3E2F"/>
    <w:rsid w:val="002B3312"/>
    <w:rsid w:val="002B66AC"/>
    <w:rsid w:val="002B777B"/>
    <w:rsid w:val="002C1985"/>
    <w:rsid w:val="002E2213"/>
    <w:rsid w:val="002E40E8"/>
    <w:rsid w:val="002E75AB"/>
    <w:rsid w:val="002F5841"/>
    <w:rsid w:val="002F595F"/>
    <w:rsid w:val="002F6144"/>
    <w:rsid w:val="002F68AE"/>
    <w:rsid w:val="00306457"/>
    <w:rsid w:val="003147AD"/>
    <w:rsid w:val="003152D6"/>
    <w:rsid w:val="00316D59"/>
    <w:rsid w:val="00317890"/>
    <w:rsid w:val="003372C7"/>
    <w:rsid w:val="00362820"/>
    <w:rsid w:val="00363E89"/>
    <w:rsid w:val="003647A5"/>
    <w:rsid w:val="00367636"/>
    <w:rsid w:val="003911D6"/>
    <w:rsid w:val="0039766D"/>
    <w:rsid w:val="003A14DA"/>
    <w:rsid w:val="003A1FC4"/>
    <w:rsid w:val="003C06A3"/>
    <w:rsid w:val="003C4CB5"/>
    <w:rsid w:val="003E1CA8"/>
    <w:rsid w:val="00406E63"/>
    <w:rsid w:val="00414025"/>
    <w:rsid w:val="00430112"/>
    <w:rsid w:val="00477CEF"/>
    <w:rsid w:val="00494110"/>
    <w:rsid w:val="00494BB0"/>
    <w:rsid w:val="004A0727"/>
    <w:rsid w:val="004A5EAF"/>
    <w:rsid w:val="004C213E"/>
    <w:rsid w:val="004C3CC8"/>
    <w:rsid w:val="004C3D64"/>
    <w:rsid w:val="004C5060"/>
    <w:rsid w:val="004C7311"/>
    <w:rsid w:val="004D1C90"/>
    <w:rsid w:val="004D3EDA"/>
    <w:rsid w:val="004D4B46"/>
    <w:rsid w:val="004E28C0"/>
    <w:rsid w:val="004F066A"/>
    <w:rsid w:val="004F3ECB"/>
    <w:rsid w:val="005032A7"/>
    <w:rsid w:val="00511102"/>
    <w:rsid w:val="00511D3B"/>
    <w:rsid w:val="00517038"/>
    <w:rsid w:val="00524FBF"/>
    <w:rsid w:val="00534838"/>
    <w:rsid w:val="00534E82"/>
    <w:rsid w:val="00544E64"/>
    <w:rsid w:val="00545EB7"/>
    <w:rsid w:val="005558AB"/>
    <w:rsid w:val="00556118"/>
    <w:rsid w:val="00561E24"/>
    <w:rsid w:val="00572101"/>
    <w:rsid w:val="005A0B01"/>
    <w:rsid w:val="005B39D0"/>
    <w:rsid w:val="005B6396"/>
    <w:rsid w:val="005C0C89"/>
    <w:rsid w:val="005C43D2"/>
    <w:rsid w:val="005C7CA4"/>
    <w:rsid w:val="005D1794"/>
    <w:rsid w:val="005F33A0"/>
    <w:rsid w:val="00607654"/>
    <w:rsid w:val="00610F9F"/>
    <w:rsid w:val="00611442"/>
    <w:rsid w:val="00611447"/>
    <w:rsid w:val="00612A23"/>
    <w:rsid w:val="00615797"/>
    <w:rsid w:val="00641837"/>
    <w:rsid w:val="00645669"/>
    <w:rsid w:val="00653501"/>
    <w:rsid w:val="00660823"/>
    <w:rsid w:val="00662D49"/>
    <w:rsid w:val="00665C3A"/>
    <w:rsid w:val="006713E2"/>
    <w:rsid w:val="0067796E"/>
    <w:rsid w:val="006867FC"/>
    <w:rsid w:val="00692242"/>
    <w:rsid w:val="00694358"/>
    <w:rsid w:val="006A2652"/>
    <w:rsid w:val="006A589D"/>
    <w:rsid w:val="006B07C4"/>
    <w:rsid w:val="006C2721"/>
    <w:rsid w:val="006C45F6"/>
    <w:rsid w:val="006D0AEC"/>
    <w:rsid w:val="006D4D4E"/>
    <w:rsid w:val="006D5305"/>
    <w:rsid w:val="006D5931"/>
    <w:rsid w:val="006E7589"/>
    <w:rsid w:val="006F3D75"/>
    <w:rsid w:val="006F57D1"/>
    <w:rsid w:val="007110F2"/>
    <w:rsid w:val="0071491C"/>
    <w:rsid w:val="00714977"/>
    <w:rsid w:val="00714F0E"/>
    <w:rsid w:val="00717230"/>
    <w:rsid w:val="00726D71"/>
    <w:rsid w:val="007301E6"/>
    <w:rsid w:val="007315CA"/>
    <w:rsid w:val="007331B9"/>
    <w:rsid w:val="007336A0"/>
    <w:rsid w:val="00733CB2"/>
    <w:rsid w:val="00735577"/>
    <w:rsid w:val="0074120E"/>
    <w:rsid w:val="00741AEA"/>
    <w:rsid w:val="00745D1D"/>
    <w:rsid w:val="00746A2D"/>
    <w:rsid w:val="0075372D"/>
    <w:rsid w:val="00755510"/>
    <w:rsid w:val="00756F4A"/>
    <w:rsid w:val="0077718E"/>
    <w:rsid w:val="007809A9"/>
    <w:rsid w:val="007925A2"/>
    <w:rsid w:val="007A284D"/>
    <w:rsid w:val="007A35B0"/>
    <w:rsid w:val="007A61FE"/>
    <w:rsid w:val="007C099A"/>
    <w:rsid w:val="007E0254"/>
    <w:rsid w:val="007E09C3"/>
    <w:rsid w:val="007F24B6"/>
    <w:rsid w:val="00800B25"/>
    <w:rsid w:val="0081215A"/>
    <w:rsid w:val="008131D7"/>
    <w:rsid w:val="00815F1F"/>
    <w:rsid w:val="00827664"/>
    <w:rsid w:val="008412AA"/>
    <w:rsid w:val="0084420D"/>
    <w:rsid w:val="008460F9"/>
    <w:rsid w:val="00854F24"/>
    <w:rsid w:val="008750EC"/>
    <w:rsid w:val="00883A0B"/>
    <w:rsid w:val="008852D2"/>
    <w:rsid w:val="00885FAB"/>
    <w:rsid w:val="00886993"/>
    <w:rsid w:val="00890C26"/>
    <w:rsid w:val="00893A09"/>
    <w:rsid w:val="00895447"/>
    <w:rsid w:val="00897CAD"/>
    <w:rsid w:val="008A0F6A"/>
    <w:rsid w:val="008C07BA"/>
    <w:rsid w:val="008C6F7D"/>
    <w:rsid w:val="008D5E82"/>
    <w:rsid w:val="008D68B7"/>
    <w:rsid w:val="008E3501"/>
    <w:rsid w:val="00904944"/>
    <w:rsid w:val="00905743"/>
    <w:rsid w:val="009116DA"/>
    <w:rsid w:val="009225B2"/>
    <w:rsid w:val="00926FAD"/>
    <w:rsid w:val="00933FA8"/>
    <w:rsid w:val="00940269"/>
    <w:rsid w:val="00944A35"/>
    <w:rsid w:val="00954E01"/>
    <w:rsid w:val="00956E48"/>
    <w:rsid w:val="00973255"/>
    <w:rsid w:val="00975844"/>
    <w:rsid w:val="00977CF1"/>
    <w:rsid w:val="00987F09"/>
    <w:rsid w:val="0099798C"/>
    <w:rsid w:val="009A6D1A"/>
    <w:rsid w:val="009B1E04"/>
    <w:rsid w:val="009C089A"/>
    <w:rsid w:val="009C5AD6"/>
    <w:rsid w:val="009F6B67"/>
    <w:rsid w:val="00A00EBF"/>
    <w:rsid w:val="00A07DCF"/>
    <w:rsid w:val="00A11187"/>
    <w:rsid w:val="00A203DC"/>
    <w:rsid w:val="00A21072"/>
    <w:rsid w:val="00A40291"/>
    <w:rsid w:val="00A67040"/>
    <w:rsid w:val="00A673E5"/>
    <w:rsid w:val="00A67EA5"/>
    <w:rsid w:val="00A772BB"/>
    <w:rsid w:val="00A924ED"/>
    <w:rsid w:val="00AA04EC"/>
    <w:rsid w:val="00AA0D7C"/>
    <w:rsid w:val="00AA398A"/>
    <w:rsid w:val="00AA55F4"/>
    <w:rsid w:val="00AB2F54"/>
    <w:rsid w:val="00AC281E"/>
    <w:rsid w:val="00AC57F7"/>
    <w:rsid w:val="00AC7D95"/>
    <w:rsid w:val="00AD3552"/>
    <w:rsid w:val="00AD7B01"/>
    <w:rsid w:val="00AE1E90"/>
    <w:rsid w:val="00AE38AC"/>
    <w:rsid w:val="00AE4892"/>
    <w:rsid w:val="00AF069C"/>
    <w:rsid w:val="00AF3527"/>
    <w:rsid w:val="00AF48AB"/>
    <w:rsid w:val="00AF65DC"/>
    <w:rsid w:val="00AF7AA5"/>
    <w:rsid w:val="00B06B0E"/>
    <w:rsid w:val="00B215EB"/>
    <w:rsid w:val="00B336D0"/>
    <w:rsid w:val="00B43BF8"/>
    <w:rsid w:val="00B52767"/>
    <w:rsid w:val="00B55D80"/>
    <w:rsid w:val="00B64CB1"/>
    <w:rsid w:val="00B838EC"/>
    <w:rsid w:val="00B84115"/>
    <w:rsid w:val="00B8429E"/>
    <w:rsid w:val="00B876D8"/>
    <w:rsid w:val="00B95C37"/>
    <w:rsid w:val="00BA6375"/>
    <w:rsid w:val="00BB1BDE"/>
    <w:rsid w:val="00BB60AA"/>
    <w:rsid w:val="00BB620D"/>
    <w:rsid w:val="00BB6D49"/>
    <w:rsid w:val="00BC7CE4"/>
    <w:rsid w:val="00BD074F"/>
    <w:rsid w:val="00BD4088"/>
    <w:rsid w:val="00BD410C"/>
    <w:rsid w:val="00BD5CB0"/>
    <w:rsid w:val="00BD7175"/>
    <w:rsid w:val="00BE2FAF"/>
    <w:rsid w:val="00BF5577"/>
    <w:rsid w:val="00BF784C"/>
    <w:rsid w:val="00C0061A"/>
    <w:rsid w:val="00C11DA0"/>
    <w:rsid w:val="00C12B17"/>
    <w:rsid w:val="00C1468C"/>
    <w:rsid w:val="00C203DF"/>
    <w:rsid w:val="00C22356"/>
    <w:rsid w:val="00C22781"/>
    <w:rsid w:val="00C34002"/>
    <w:rsid w:val="00C4270E"/>
    <w:rsid w:val="00C435E0"/>
    <w:rsid w:val="00C50C2C"/>
    <w:rsid w:val="00C57B3C"/>
    <w:rsid w:val="00C7516A"/>
    <w:rsid w:val="00C86720"/>
    <w:rsid w:val="00C906EB"/>
    <w:rsid w:val="00CA1B17"/>
    <w:rsid w:val="00CA309A"/>
    <w:rsid w:val="00CB16FE"/>
    <w:rsid w:val="00CB779D"/>
    <w:rsid w:val="00CC0CD9"/>
    <w:rsid w:val="00CC0F1D"/>
    <w:rsid w:val="00CC1AE3"/>
    <w:rsid w:val="00CD0D27"/>
    <w:rsid w:val="00CD710B"/>
    <w:rsid w:val="00CE3DE9"/>
    <w:rsid w:val="00CE5450"/>
    <w:rsid w:val="00CF13DF"/>
    <w:rsid w:val="00CF7867"/>
    <w:rsid w:val="00CF7900"/>
    <w:rsid w:val="00D17288"/>
    <w:rsid w:val="00D17653"/>
    <w:rsid w:val="00D23089"/>
    <w:rsid w:val="00D31F7A"/>
    <w:rsid w:val="00D52A2A"/>
    <w:rsid w:val="00D913DA"/>
    <w:rsid w:val="00D97B00"/>
    <w:rsid w:val="00DA3215"/>
    <w:rsid w:val="00DA37D9"/>
    <w:rsid w:val="00DA5C06"/>
    <w:rsid w:val="00DB0697"/>
    <w:rsid w:val="00DB23A4"/>
    <w:rsid w:val="00DB3D97"/>
    <w:rsid w:val="00DC1CE9"/>
    <w:rsid w:val="00DC372C"/>
    <w:rsid w:val="00DC6B83"/>
    <w:rsid w:val="00DE5ECD"/>
    <w:rsid w:val="00DE7634"/>
    <w:rsid w:val="00DF17CE"/>
    <w:rsid w:val="00E0790E"/>
    <w:rsid w:val="00E10A40"/>
    <w:rsid w:val="00E263FA"/>
    <w:rsid w:val="00E26752"/>
    <w:rsid w:val="00E3000C"/>
    <w:rsid w:val="00E37798"/>
    <w:rsid w:val="00E6430E"/>
    <w:rsid w:val="00E8444E"/>
    <w:rsid w:val="00E8779D"/>
    <w:rsid w:val="00E91E8F"/>
    <w:rsid w:val="00E96412"/>
    <w:rsid w:val="00EA354B"/>
    <w:rsid w:val="00EA53D1"/>
    <w:rsid w:val="00EB1B11"/>
    <w:rsid w:val="00EB466E"/>
    <w:rsid w:val="00EB541E"/>
    <w:rsid w:val="00EC1BC3"/>
    <w:rsid w:val="00EC59DD"/>
    <w:rsid w:val="00EC6E4A"/>
    <w:rsid w:val="00EC7372"/>
    <w:rsid w:val="00EF2A7A"/>
    <w:rsid w:val="00EF53E9"/>
    <w:rsid w:val="00EF62F0"/>
    <w:rsid w:val="00EF721B"/>
    <w:rsid w:val="00F01A01"/>
    <w:rsid w:val="00F0563D"/>
    <w:rsid w:val="00F167E3"/>
    <w:rsid w:val="00F20890"/>
    <w:rsid w:val="00F252B5"/>
    <w:rsid w:val="00F27DFD"/>
    <w:rsid w:val="00F308B3"/>
    <w:rsid w:val="00F41990"/>
    <w:rsid w:val="00F47ABF"/>
    <w:rsid w:val="00F52AFE"/>
    <w:rsid w:val="00F6690B"/>
    <w:rsid w:val="00F707B0"/>
    <w:rsid w:val="00F81362"/>
    <w:rsid w:val="00F815E0"/>
    <w:rsid w:val="00F93C77"/>
    <w:rsid w:val="00FA1ABA"/>
    <w:rsid w:val="00FA4C11"/>
    <w:rsid w:val="00FB6694"/>
    <w:rsid w:val="00FB7FAC"/>
    <w:rsid w:val="00FC451A"/>
    <w:rsid w:val="00FD38BB"/>
    <w:rsid w:val="00FD5D3E"/>
    <w:rsid w:val="00FE7814"/>
    <w:rsid w:val="00FF1680"/>
    <w:rsid w:val="00FF6D41"/>
    <w:rsid w:val="00FF74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841"/>
    <w:rPr>
      <w:rFonts w:ascii="Times New Roman" w:eastAsia="Times New Roman" w:hAnsi="Times New Roman"/>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
    <w:name w:val="Char Char Char Char Char Char"/>
    <w:basedOn w:val="Normal"/>
    <w:rsid w:val="002F5841"/>
    <w:pPr>
      <w:spacing w:after="160" w:line="240" w:lineRule="exact"/>
    </w:pPr>
    <w:rPr>
      <w:rFonts w:ascii="Tahoma" w:hAnsi="Tahoma"/>
      <w:sz w:val="20"/>
      <w:szCs w:val="20"/>
    </w:rPr>
  </w:style>
  <w:style w:type="paragraph" w:styleId="BalloonText">
    <w:name w:val="Balloon Text"/>
    <w:basedOn w:val="Normal"/>
    <w:link w:val="BalloonTextChar"/>
    <w:uiPriority w:val="99"/>
    <w:semiHidden/>
    <w:unhideWhenUsed/>
    <w:rsid w:val="002F5841"/>
    <w:rPr>
      <w:rFonts w:ascii="Tahoma" w:hAnsi="Tahoma" w:cs="Tahoma"/>
      <w:sz w:val="16"/>
      <w:szCs w:val="16"/>
    </w:rPr>
  </w:style>
  <w:style w:type="character" w:customStyle="1" w:styleId="BalloonTextChar">
    <w:name w:val="Balloon Text Char"/>
    <w:link w:val="BalloonText"/>
    <w:uiPriority w:val="99"/>
    <w:semiHidden/>
    <w:rsid w:val="002F5841"/>
    <w:rPr>
      <w:rFonts w:ascii="Tahoma" w:eastAsia="Times New Roman" w:hAnsi="Tahoma" w:cs="Tahoma"/>
      <w:sz w:val="16"/>
      <w:szCs w:val="16"/>
      <w:lang w:val="sq-AL"/>
    </w:rPr>
  </w:style>
  <w:style w:type="table" w:styleId="TableGrid">
    <w:name w:val="Table Grid"/>
    <w:basedOn w:val="TableNormal"/>
    <w:uiPriority w:val="59"/>
    <w:rsid w:val="002F58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F5841"/>
    <w:pPr>
      <w:tabs>
        <w:tab w:val="center" w:pos="4680"/>
        <w:tab w:val="right" w:pos="9360"/>
      </w:tabs>
    </w:pPr>
  </w:style>
  <w:style w:type="character" w:customStyle="1" w:styleId="HeaderChar">
    <w:name w:val="Header Char"/>
    <w:link w:val="Header"/>
    <w:uiPriority w:val="99"/>
    <w:rsid w:val="002F5841"/>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2F5841"/>
    <w:pPr>
      <w:tabs>
        <w:tab w:val="center" w:pos="4680"/>
        <w:tab w:val="right" w:pos="9360"/>
      </w:tabs>
    </w:pPr>
  </w:style>
  <w:style w:type="character" w:customStyle="1" w:styleId="FooterChar">
    <w:name w:val="Footer Char"/>
    <w:link w:val="Footer"/>
    <w:uiPriority w:val="99"/>
    <w:rsid w:val="002F5841"/>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7315CA"/>
    <w:pPr>
      <w:ind w:left="720"/>
      <w:contextualSpacing/>
    </w:pPr>
  </w:style>
  <w:style w:type="character" w:customStyle="1" w:styleId="shorttext">
    <w:name w:val="short_text"/>
    <w:basedOn w:val="DefaultParagraphFont"/>
    <w:rsid w:val="00735577"/>
  </w:style>
  <w:style w:type="character" w:customStyle="1" w:styleId="hps">
    <w:name w:val="hps"/>
    <w:basedOn w:val="DefaultParagraphFont"/>
    <w:rsid w:val="00735577"/>
  </w:style>
  <w:style w:type="paragraph" w:customStyle="1" w:styleId="Default">
    <w:name w:val="Default"/>
    <w:rsid w:val="00FA4C11"/>
    <w:pPr>
      <w:widowControl w:val="0"/>
      <w:autoSpaceDE w:val="0"/>
      <w:autoSpaceDN w:val="0"/>
      <w:adjustRightInd w:val="0"/>
    </w:pPr>
    <w:rPr>
      <w:rFonts w:ascii="Times New Roman" w:eastAsiaTheme="minorHAnsi" w:hAnsi="Times New Roman"/>
      <w:color w:val="000000"/>
      <w:sz w:val="24"/>
      <w:szCs w:val="24"/>
    </w:rPr>
  </w:style>
  <w:style w:type="table" w:customStyle="1" w:styleId="GridTable1Light-Accent51">
    <w:name w:val="Grid Table 1 Light - Accent 51"/>
    <w:basedOn w:val="TableNormal"/>
    <w:uiPriority w:val="46"/>
    <w:rsid w:val="00FA4C11"/>
    <w:rPr>
      <w:rFonts w:asciiTheme="minorHAnsi" w:eastAsiaTheme="minorHAnsi" w:hAnsiTheme="minorHAnsi" w:cstheme="minorBidi"/>
      <w:sz w:val="24"/>
      <w:szCs w:val="24"/>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Title">
    <w:name w:val="Title"/>
    <w:basedOn w:val="Normal"/>
    <w:link w:val="TitleChar"/>
    <w:uiPriority w:val="99"/>
    <w:qFormat/>
    <w:rsid w:val="00FA4C11"/>
    <w:pPr>
      <w:jc w:val="center"/>
    </w:pPr>
    <w:rPr>
      <w:rFonts w:eastAsia="MS Mincho"/>
      <w:b/>
      <w:bCs/>
      <w:lang w:val="sq-AL"/>
    </w:rPr>
  </w:style>
  <w:style w:type="character" w:customStyle="1" w:styleId="TitleChar">
    <w:name w:val="Title Char"/>
    <w:basedOn w:val="DefaultParagraphFont"/>
    <w:link w:val="Title"/>
    <w:uiPriority w:val="99"/>
    <w:rsid w:val="00FA4C11"/>
    <w:rPr>
      <w:rFonts w:ascii="Times New Roman" w:eastAsia="MS Mincho" w:hAnsi="Times New Roman"/>
      <w:b/>
      <w:bCs/>
      <w:sz w:val="24"/>
      <w:szCs w:val="24"/>
      <w:lang w:val="sq-AL"/>
    </w:rPr>
  </w:style>
</w:styles>
</file>

<file path=word/webSettings.xml><?xml version="1.0" encoding="utf-8"?>
<w:webSettings xmlns:r="http://schemas.openxmlformats.org/officeDocument/2006/relationships" xmlns:w="http://schemas.openxmlformats.org/wordprocessingml/2006/main">
  <w:divs>
    <w:div w:id="209000664">
      <w:bodyDiv w:val="1"/>
      <w:marLeft w:val="0"/>
      <w:marRight w:val="0"/>
      <w:marTop w:val="0"/>
      <w:marBottom w:val="0"/>
      <w:divBdr>
        <w:top w:val="none" w:sz="0" w:space="0" w:color="auto"/>
        <w:left w:val="none" w:sz="0" w:space="0" w:color="auto"/>
        <w:bottom w:val="none" w:sz="0" w:space="0" w:color="auto"/>
        <w:right w:val="none" w:sz="0" w:space="0" w:color="auto"/>
      </w:divBdr>
    </w:div>
    <w:div w:id="596914280">
      <w:bodyDiv w:val="1"/>
      <w:marLeft w:val="0"/>
      <w:marRight w:val="0"/>
      <w:marTop w:val="0"/>
      <w:marBottom w:val="0"/>
      <w:divBdr>
        <w:top w:val="none" w:sz="0" w:space="0" w:color="auto"/>
        <w:left w:val="none" w:sz="0" w:space="0" w:color="auto"/>
        <w:bottom w:val="none" w:sz="0" w:space="0" w:color="auto"/>
        <w:right w:val="none" w:sz="0" w:space="0" w:color="auto"/>
      </w:divBdr>
    </w:div>
    <w:div w:id="678695994">
      <w:bodyDiv w:val="1"/>
      <w:marLeft w:val="0"/>
      <w:marRight w:val="0"/>
      <w:marTop w:val="0"/>
      <w:marBottom w:val="0"/>
      <w:divBdr>
        <w:top w:val="none" w:sz="0" w:space="0" w:color="auto"/>
        <w:left w:val="none" w:sz="0" w:space="0" w:color="auto"/>
        <w:bottom w:val="none" w:sz="0" w:space="0" w:color="auto"/>
        <w:right w:val="none" w:sz="0" w:space="0" w:color="auto"/>
      </w:divBdr>
    </w:div>
    <w:div w:id="806044207">
      <w:bodyDiv w:val="1"/>
      <w:marLeft w:val="0"/>
      <w:marRight w:val="0"/>
      <w:marTop w:val="0"/>
      <w:marBottom w:val="0"/>
      <w:divBdr>
        <w:top w:val="none" w:sz="0" w:space="0" w:color="auto"/>
        <w:left w:val="none" w:sz="0" w:space="0" w:color="auto"/>
        <w:bottom w:val="none" w:sz="0" w:space="0" w:color="auto"/>
        <w:right w:val="none" w:sz="0" w:space="0" w:color="auto"/>
      </w:divBdr>
      <w:divsChild>
        <w:div w:id="180247427">
          <w:marLeft w:val="240"/>
          <w:marRight w:val="0"/>
          <w:marTop w:val="0"/>
          <w:marBottom w:val="0"/>
          <w:divBdr>
            <w:top w:val="none" w:sz="0" w:space="0" w:color="auto"/>
            <w:left w:val="none" w:sz="0" w:space="0" w:color="auto"/>
            <w:bottom w:val="none" w:sz="0" w:space="0" w:color="auto"/>
            <w:right w:val="none" w:sz="0" w:space="0" w:color="auto"/>
          </w:divBdr>
          <w:divsChild>
            <w:div w:id="145405780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lliTech\Downloads\Memorandumi%20shpjegues%20i%20Projektligjit%20per%20mbrojtjen%20e%20femijes%2004.02.2016%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B30A6-C3AE-4F65-88B3-09D0536AC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Memorandumi shpjegues i Projektligjit per mbrojtjen e femijes 04.02.2016 (1)</Template>
  <TotalTime>0</TotalTime>
  <Pages>28</Pages>
  <Words>4322</Words>
  <Characters>24640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28905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Arben.I. Loshi</dc:creator>
  <cp:lastModifiedBy>Portal 03</cp:lastModifiedBy>
  <cp:revision>2</cp:revision>
  <cp:lastPrinted>2018-06-14T07:27:00Z</cp:lastPrinted>
  <dcterms:created xsi:type="dcterms:W3CDTF">2026-09-21T12:58:00Z</dcterms:created>
  <dcterms:modified xsi:type="dcterms:W3CDTF">2026-09-21T12:58:00Z</dcterms:modified>
</cp:coreProperties>
</file>